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C9D" w:rsidRPr="00ED737B" w:rsidRDefault="00975123" w:rsidP="00F53E4B">
      <w:pPr>
        <w:rPr>
          <w:rFonts w:ascii="Garamond" w:hAnsi="Garamond"/>
          <w:b/>
          <w:bCs/>
          <w:szCs w:val="28"/>
        </w:rPr>
      </w:pPr>
      <w:r>
        <w:rPr>
          <w:rFonts w:ascii="Garamond" w:hAnsi="Garamond"/>
          <w:b/>
          <w:bCs/>
          <w:szCs w:val="28"/>
          <w:lang w:val="en-US"/>
        </w:rPr>
        <w:t>VI</w:t>
      </w:r>
      <w:r w:rsidRPr="00ED737B">
        <w:rPr>
          <w:rFonts w:ascii="Garamond" w:hAnsi="Garamond"/>
          <w:b/>
          <w:bCs/>
          <w:szCs w:val="28"/>
        </w:rPr>
        <w:t>.1</w:t>
      </w:r>
      <w:r w:rsidR="00F53E4B" w:rsidRPr="00ED737B">
        <w:rPr>
          <w:rFonts w:ascii="Garamond" w:hAnsi="Garamond"/>
          <w:b/>
          <w:bCs/>
          <w:szCs w:val="28"/>
        </w:rPr>
        <w:t>.</w:t>
      </w:r>
      <w:r w:rsidRPr="00ED737B">
        <w:rPr>
          <w:rFonts w:ascii="Garamond" w:hAnsi="Garamond"/>
          <w:b/>
          <w:bCs/>
          <w:szCs w:val="28"/>
        </w:rPr>
        <w:t xml:space="preserve"> </w:t>
      </w:r>
      <w:r w:rsidR="000E4786" w:rsidRPr="00ED737B">
        <w:rPr>
          <w:rFonts w:ascii="Garamond" w:hAnsi="Garamond"/>
          <w:b/>
          <w:bCs/>
          <w:szCs w:val="28"/>
        </w:rPr>
        <w:t>Изменения, связанные с уточнением процедуры расчета ВСВГО на территории второй неценовой зоны в условиях применения средневзвешенной величины тарифа на электрическую энергию</w:t>
      </w:r>
    </w:p>
    <w:p w:rsidR="00A674F5" w:rsidRDefault="00A674F5" w:rsidP="00A674F5">
      <w:pPr>
        <w:ind w:left="12037"/>
        <w:jc w:val="both"/>
        <w:rPr>
          <w:rFonts w:ascii="Garamond" w:hAnsi="Garamond"/>
          <w:b/>
          <w:bCs/>
          <w:szCs w:val="28"/>
        </w:rPr>
      </w:pPr>
    </w:p>
    <w:p w:rsidR="005E3F4C" w:rsidRDefault="00975123" w:rsidP="00A674F5">
      <w:pPr>
        <w:ind w:left="12037" w:right="-30"/>
        <w:jc w:val="both"/>
        <w:rPr>
          <w:rFonts w:ascii="Garamond" w:hAnsi="Garamond"/>
          <w:b/>
          <w:bCs/>
          <w:szCs w:val="28"/>
        </w:rPr>
      </w:pPr>
      <w:r>
        <w:rPr>
          <w:rFonts w:ascii="Garamond" w:hAnsi="Garamond"/>
          <w:b/>
          <w:bCs/>
          <w:szCs w:val="28"/>
        </w:rPr>
        <w:t xml:space="preserve">Приложение </w:t>
      </w:r>
      <w:r w:rsidR="00F53E4B">
        <w:rPr>
          <w:rFonts w:ascii="Garamond" w:hAnsi="Garamond"/>
          <w:b/>
          <w:bCs/>
          <w:szCs w:val="28"/>
        </w:rPr>
        <w:t xml:space="preserve">№ </w:t>
      </w:r>
      <w:r>
        <w:rPr>
          <w:rFonts w:ascii="Garamond" w:hAnsi="Garamond"/>
          <w:b/>
          <w:bCs/>
          <w:szCs w:val="28"/>
        </w:rPr>
        <w:t>6.1</w:t>
      </w:r>
    </w:p>
    <w:p w:rsidR="00A674F5" w:rsidRPr="00975123" w:rsidRDefault="00A674F5" w:rsidP="00A674F5">
      <w:pPr>
        <w:ind w:left="12037"/>
        <w:jc w:val="both"/>
        <w:rPr>
          <w:rFonts w:ascii="Garamond" w:hAnsi="Garamond"/>
          <w:b/>
          <w:bCs/>
          <w:szCs w:val="28"/>
        </w:rPr>
      </w:pP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70"/>
      </w:tblGrid>
      <w:tr w:rsidR="00E13C9D" w:rsidRPr="006A5CF1" w:rsidTr="003D6650">
        <w:trPr>
          <w:trHeight w:val="1245"/>
        </w:trPr>
        <w:tc>
          <w:tcPr>
            <w:tcW w:w="15134" w:type="dxa"/>
          </w:tcPr>
          <w:p w:rsidR="00E13C9D" w:rsidRPr="006A5CF1" w:rsidRDefault="00E13C9D" w:rsidP="00745C47">
            <w:pPr>
              <w:jc w:val="both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Инициатор: </w:t>
            </w:r>
            <w:r w:rsidRPr="006A5CF1">
              <w:rPr>
                <w:rFonts w:ascii="Garamond" w:hAnsi="Garamond"/>
                <w:sz w:val="24"/>
              </w:rPr>
              <w:t>АО «СО ЕЭС»</w:t>
            </w:r>
            <w:r>
              <w:rPr>
                <w:rFonts w:ascii="Garamond" w:hAnsi="Garamond"/>
                <w:sz w:val="24"/>
              </w:rPr>
              <w:t>.</w:t>
            </w:r>
          </w:p>
          <w:p w:rsidR="00E13C9D" w:rsidRPr="00A149EF" w:rsidRDefault="00E13C9D" w:rsidP="001B45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>Обоснование</w:t>
            </w:r>
            <w:r w:rsidR="000B1375">
              <w:rPr>
                <w:rFonts w:ascii="Garamond" w:hAnsi="Garamond"/>
                <w:b/>
                <w:bCs/>
                <w:sz w:val="24"/>
              </w:rPr>
              <w:t xml:space="preserve">: </w:t>
            </w:r>
            <w:r w:rsidR="005E3F4C">
              <w:rPr>
                <w:rFonts w:ascii="Garamond" w:hAnsi="Garamond"/>
                <w:sz w:val="24"/>
              </w:rPr>
              <w:t xml:space="preserve">при принятии изменений в Регламенты оптового рынка, связанных с введением </w:t>
            </w:r>
            <w:r w:rsidR="005E3F4C" w:rsidRPr="00345BD9">
              <w:rPr>
                <w:rFonts w:ascii="Garamond" w:hAnsi="Garamond"/>
                <w:sz w:val="24"/>
              </w:rPr>
              <w:t>процедуры расчета выбора состава включенного генерирующего оборудования (ВСВГО) на территории второй неценовой зоны</w:t>
            </w:r>
            <w:r w:rsidR="005E3F4C">
              <w:rPr>
                <w:rFonts w:ascii="Garamond" w:hAnsi="Garamond"/>
                <w:sz w:val="24"/>
              </w:rPr>
              <w:t xml:space="preserve">, было принято решение о </w:t>
            </w:r>
            <w:r w:rsidR="005E3F4C" w:rsidRPr="00345BD9">
              <w:rPr>
                <w:rFonts w:ascii="Garamond" w:hAnsi="Garamond"/>
                <w:sz w:val="24"/>
              </w:rPr>
              <w:t>применени</w:t>
            </w:r>
            <w:r w:rsidR="005E3F4C">
              <w:rPr>
                <w:rFonts w:ascii="Garamond" w:hAnsi="Garamond"/>
                <w:sz w:val="24"/>
              </w:rPr>
              <w:t>и в к</w:t>
            </w:r>
            <w:r w:rsidR="003D78C8">
              <w:rPr>
                <w:rFonts w:ascii="Garamond" w:hAnsi="Garamond"/>
                <w:sz w:val="24"/>
              </w:rPr>
              <w:t xml:space="preserve">ачестве ценовой характеристики </w:t>
            </w:r>
            <w:r w:rsidR="005E3F4C" w:rsidRPr="00345BD9">
              <w:rPr>
                <w:rFonts w:ascii="Garamond" w:hAnsi="Garamond"/>
                <w:sz w:val="24"/>
              </w:rPr>
              <w:t>средневзвешенной величины тарифа на электрическую энергию</w:t>
            </w:r>
            <w:r w:rsidR="005E3F4C">
              <w:rPr>
                <w:rFonts w:ascii="Garamond" w:hAnsi="Garamond"/>
                <w:sz w:val="24"/>
              </w:rPr>
              <w:t>. В связи с эти</w:t>
            </w:r>
            <w:r w:rsidR="00ED737B">
              <w:rPr>
                <w:rFonts w:ascii="Garamond" w:hAnsi="Garamond"/>
                <w:sz w:val="24"/>
              </w:rPr>
              <w:t>м из регламентов исключаются не</w:t>
            </w:r>
            <w:r w:rsidR="005E3F4C">
              <w:rPr>
                <w:rFonts w:ascii="Garamond" w:hAnsi="Garamond"/>
                <w:sz w:val="24"/>
              </w:rPr>
              <w:t>действующие   положения.</w:t>
            </w:r>
          </w:p>
          <w:p w:rsidR="00E13C9D" w:rsidRPr="006A5CF1" w:rsidRDefault="00E13C9D" w:rsidP="00D430CC">
            <w:pPr>
              <w:jc w:val="both"/>
              <w:rPr>
                <w:b/>
                <w:sz w:val="24"/>
              </w:rPr>
            </w:pPr>
            <w:r w:rsidRPr="006A5CF1">
              <w:rPr>
                <w:rFonts w:ascii="Garamond" w:hAnsi="Garamond"/>
                <w:b/>
                <w:bCs/>
                <w:sz w:val="24"/>
              </w:rPr>
              <w:t xml:space="preserve">Дата вступления в силу: </w:t>
            </w:r>
            <w:r w:rsidR="00564B31" w:rsidRPr="00564B31">
              <w:rPr>
                <w:rFonts w:ascii="Garamond" w:hAnsi="Garamond"/>
                <w:bCs/>
                <w:sz w:val="24"/>
              </w:rPr>
              <w:t>1</w:t>
            </w:r>
            <w:r w:rsidR="00D430CC">
              <w:rPr>
                <w:rFonts w:ascii="Garamond" w:hAnsi="Garamond"/>
                <w:bCs/>
                <w:sz w:val="24"/>
              </w:rPr>
              <w:t xml:space="preserve"> марта </w:t>
            </w:r>
            <w:r w:rsidR="00564B31" w:rsidRPr="00564B31">
              <w:rPr>
                <w:rFonts w:ascii="Garamond" w:hAnsi="Garamond"/>
                <w:bCs/>
                <w:sz w:val="24"/>
              </w:rPr>
              <w:t>2019 г</w:t>
            </w:r>
            <w:r w:rsidR="003D78C8">
              <w:rPr>
                <w:rFonts w:ascii="Garamond" w:hAnsi="Garamond"/>
                <w:sz w:val="24"/>
              </w:rPr>
              <w:t>ода.</w:t>
            </w:r>
          </w:p>
        </w:tc>
      </w:tr>
    </w:tbl>
    <w:p w:rsidR="005E3F4C" w:rsidRDefault="005E3F4C" w:rsidP="00AB4B70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p w:rsidR="00AB4B70" w:rsidRPr="00F53E4B" w:rsidRDefault="00AB4B70" w:rsidP="00F53E4B">
      <w:pPr>
        <w:ind w:right="110"/>
        <w:rPr>
          <w:rFonts w:ascii="Garamond" w:hAnsi="Garamond"/>
          <w:b/>
          <w:sz w:val="26"/>
          <w:szCs w:val="26"/>
        </w:rPr>
      </w:pPr>
      <w:r w:rsidRPr="00F53E4B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РЕГЛАМЕНТ </w:t>
      </w:r>
      <w:r w:rsidR="00531A19" w:rsidRPr="00F53E4B">
        <w:rPr>
          <w:rFonts w:ascii="Garamond" w:hAnsi="Garamond"/>
          <w:b/>
          <w:sz w:val="26"/>
          <w:szCs w:val="26"/>
        </w:rPr>
        <w:t xml:space="preserve">ПОДАЧИ УВЕДОМЛЕНИЙ УЧАСТНИКАМИ ОПТОВОГО РЫНКА </w:t>
      </w:r>
      <w:r w:rsidRPr="00F53E4B">
        <w:rPr>
          <w:rFonts w:ascii="Garamond" w:hAnsi="Garamond"/>
          <w:b/>
          <w:sz w:val="26"/>
          <w:szCs w:val="26"/>
        </w:rPr>
        <w:t xml:space="preserve">(Приложение № </w:t>
      </w:r>
      <w:r w:rsidR="00531A19" w:rsidRPr="00F53E4B">
        <w:rPr>
          <w:rFonts w:ascii="Garamond" w:hAnsi="Garamond"/>
          <w:b/>
          <w:sz w:val="26"/>
          <w:szCs w:val="26"/>
        </w:rPr>
        <w:t>4</w:t>
      </w:r>
      <w:r w:rsidRPr="00F53E4B">
        <w:rPr>
          <w:rFonts w:ascii="Garamond" w:hAnsi="Garamond"/>
          <w:b/>
          <w:sz w:val="26"/>
          <w:szCs w:val="26"/>
        </w:rPr>
        <w:t xml:space="preserve"> к Договору о присоединении к торговой системе оптового рынка)</w:t>
      </w:r>
    </w:p>
    <w:p w:rsidR="00AB4B70" w:rsidRPr="006A5CF1" w:rsidRDefault="00AB4B70" w:rsidP="00AB4B70">
      <w:pPr>
        <w:rPr>
          <w:b/>
          <w:sz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87"/>
        <w:gridCol w:w="7088"/>
      </w:tblGrid>
      <w:tr w:rsidR="00AB4B70" w:rsidRPr="00745C47" w:rsidTr="00A018F3">
        <w:tc>
          <w:tcPr>
            <w:tcW w:w="959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087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8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sz w:val="22"/>
              </w:rPr>
            </w:pPr>
            <w:r w:rsidRPr="00745C4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531A19" w:rsidRPr="00531A19" w:rsidTr="00530CBB">
        <w:trPr>
          <w:trHeight w:val="2885"/>
        </w:trPr>
        <w:tc>
          <w:tcPr>
            <w:tcW w:w="959" w:type="dxa"/>
            <w:vAlign w:val="center"/>
          </w:tcPr>
          <w:p w:rsidR="00531A19" w:rsidRPr="003151EA" w:rsidRDefault="000378D7" w:rsidP="00F53E4B">
            <w:pPr>
              <w:spacing w:before="120" w:after="120"/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3.1.1</w:t>
            </w:r>
          </w:p>
        </w:tc>
        <w:tc>
          <w:tcPr>
            <w:tcW w:w="7087" w:type="dxa"/>
          </w:tcPr>
          <w:p w:rsidR="00531A19" w:rsidRPr="00530CBB" w:rsidRDefault="009D485E" w:rsidP="00530CBB">
            <w:pPr>
              <w:pStyle w:val="5"/>
              <w:keepNext w:val="0"/>
              <w:keepLines w:val="0"/>
              <w:widowControl w:val="0"/>
              <w:suppressAutoHyphens/>
              <w:spacing w:before="120" w:after="120"/>
              <w:ind w:left="459"/>
              <w:jc w:val="both"/>
            </w:pPr>
            <w:r w:rsidRPr="009D485E">
              <w:rPr>
                <w:rFonts w:ascii="Garamond" w:hAnsi="Garamond"/>
                <w:color w:val="auto"/>
                <w:sz w:val="22"/>
                <w:szCs w:val="22"/>
              </w:rPr>
              <w:t>34) </w:t>
            </w:r>
            <w:r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 xml:space="preserve">приоритет отбора ЕГО в работу, который имеет право заявить </w:t>
            </w:r>
            <w:r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lang w:val="x-none" w:eastAsia="x-none"/>
              </w:rPr>
              <w:t xml:space="preserve">участник оптового рынка второй неценовой зоны – поставщик электрической энергии и </w:t>
            </w:r>
            <w:r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 xml:space="preserve">мощности, </w:t>
            </w:r>
            <w:r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  <w:highlight w:val="yellow"/>
              </w:rPr>
              <w:t>в случае если федеральным органом исполнительной власти в области регулирования тарифов установлена регулируемая цена (тариф) на электрическую энергию в отношении нескольких генерирующих объектов, с использованием которых данный поставщик участвует в торговле электрической энергией и мощностью на оптовом рынке</w:t>
            </w:r>
            <w:r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, </w:t>
            </w:r>
            <w:r w:rsidRPr="009D485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</w:t>
            </w:r>
            <w:r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val="x-none" w:eastAsia="x-none"/>
              </w:rPr>
              <w:t xml:space="preserve"> отношении каждой ЕГО</w:t>
            </w:r>
            <w:r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, входящей в состав таких </w:t>
            </w:r>
            <w:r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  <w:highlight w:val="yellow"/>
              </w:rPr>
              <w:t>генерирующих объектов</w:t>
            </w:r>
            <w:r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 (по возрастанию, начиная с 1, с шагом 1);</w:t>
            </w:r>
          </w:p>
        </w:tc>
        <w:tc>
          <w:tcPr>
            <w:tcW w:w="7088" w:type="dxa"/>
          </w:tcPr>
          <w:p w:rsidR="007720CA" w:rsidRPr="009D485E" w:rsidRDefault="000378D7" w:rsidP="00F53E4B">
            <w:pPr>
              <w:pStyle w:val="5"/>
              <w:keepNext w:val="0"/>
              <w:keepLines w:val="0"/>
              <w:widowControl w:val="0"/>
              <w:suppressAutoHyphens/>
              <w:spacing w:before="120" w:after="120"/>
              <w:ind w:left="459"/>
              <w:jc w:val="both"/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</w:pPr>
            <w:r w:rsidRPr="009D485E">
              <w:rPr>
                <w:rFonts w:ascii="Garamond" w:hAnsi="Garamond"/>
                <w:color w:val="auto"/>
                <w:sz w:val="22"/>
                <w:szCs w:val="22"/>
              </w:rPr>
              <w:t>34) </w:t>
            </w:r>
            <w:r w:rsidR="0079436F"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>приоритет отбора ЕГО в работу</w:t>
            </w:r>
            <w:r w:rsidR="007C340D"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 xml:space="preserve">, который имеет право заявить </w:t>
            </w:r>
            <w:r w:rsidR="007C340D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lang w:val="x-none" w:eastAsia="x-none"/>
              </w:rPr>
              <w:t xml:space="preserve">участник оптового рынка второй неценовой зоны – поставщик электрической энергии и </w:t>
            </w:r>
            <w:r w:rsidR="007C340D"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>мощности,</w:t>
            </w:r>
            <w:r w:rsid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</w:rPr>
              <w:t xml:space="preserve"> </w:t>
            </w:r>
            <w:r w:rsidR="007C340D" w:rsidRPr="009D485E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</w:t>
            </w:r>
            <w:r w:rsidR="007C340D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val="x-none" w:eastAsia="x-none"/>
              </w:rPr>
              <w:t xml:space="preserve"> отношении каждой ЕГО</w:t>
            </w:r>
            <w:r w:rsidR="007720CA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,</w:t>
            </w:r>
            <w:r w:rsidR="007C340D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 входящ</w:t>
            </w:r>
            <w:r w:rsidR="0046249D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ей</w:t>
            </w:r>
            <w:r w:rsidR="007C340D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 в состав </w:t>
            </w:r>
            <w:r w:rsidR="00564B31"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  <w:highlight w:val="yellow"/>
              </w:rPr>
              <w:t>генерирующих объектов</w:t>
            </w:r>
            <w:r w:rsidR="00564B31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 </w:t>
            </w:r>
            <w:r w:rsidR="007C340D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(по возрастанию, начиная с 1, с шагом 1</w:t>
            </w:r>
            <w:r w:rsidR="009D41A8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)</w:t>
            </w:r>
            <w:r w:rsidR="0046249D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,</w:t>
            </w:r>
            <w:r w:rsidR="009D485E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 xml:space="preserve"> </w:t>
            </w:r>
            <w:r w:rsidR="009D485E" w:rsidRPr="009D485E">
              <w:rPr>
                <w:rFonts w:ascii="Garamond" w:eastAsiaTheme="minorEastAsia" w:hAnsi="Garamond" w:cstheme="minorBidi"/>
                <w:bCs/>
                <w:iCs/>
                <w:color w:val="auto"/>
                <w:sz w:val="22"/>
                <w:szCs w:val="22"/>
                <w:highlight w:val="yellow"/>
              </w:rPr>
              <w:t>с использованием которых данный поставщик участвует в торговле электрической энергией и мощностью на оптовом рынке</w:t>
            </w:r>
            <w:r w:rsidR="009D41A8" w:rsidRPr="009D485E">
              <w:rPr>
                <w:rFonts w:ascii="Garamond" w:hAnsi="Garamond"/>
                <w:bCs/>
                <w:iCs/>
                <w:color w:val="auto"/>
                <w:sz w:val="22"/>
                <w:szCs w:val="22"/>
                <w:highlight w:val="yellow"/>
                <w:lang w:eastAsia="x-none"/>
              </w:rPr>
              <w:t>;</w:t>
            </w:r>
          </w:p>
          <w:p w:rsidR="00531A19" w:rsidRPr="000378D7" w:rsidRDefault="00531A19" w:rsidP="00F53E4B">
            <w:pPr>
              <w:pStyle w:val="5"/>
              <w:widowControl w:val="0"/>
              <w:suppressAutoHyphens/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:rsidR="005E3F4C" w:rsidRDefault="005E3F4C" w:rsidP="00AB4B70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p w:rsidR="005E3F4C" w:rsidRDefault="005E3F4C">
      <w:pPr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br w:type="page"/>
      </w:r>
    </w:p>
    <w:p w:rsidR="00AB4B70" w:rsidRPr="00F53E4B" w:rsidRDefault="00AB4B70" w:rsidP="00F53E4B">
      <w:pPr>
        <w:ind w:right="110"/>
        <w:rPr>
          <w:rFonts w:ascii="Garamond" w:hAnsi="Garamond"/>
          <w:b/>
          <w:sz w:val="26"/>
          <w:szCs w:val="26"/>
        </w:rPr>
      </w:pPr>
      <w:r w:rsidRPr="00F53E4B">
        <w:rPr>
          <w:rFonts w:ascii="Garamond" w:hAnsi="Garamond"/>
          <w:b/>
          <w:sz w:val="26"/>
          <w:szCs w:val="26"/>
        </w:rPr>
        <w:lastRenderedPageBreak/>
        <w:t xml:space="preserve">Предложения по изменениям и дополнениям в РЕГЛАМЕНТ </w:t>
      </w:r>
      <w:r w:rsidR="00A41F66" w:rsidRPr="00F53E4B">
        <w:rPr>
          <w:rFonts w:ascii="Garamond" w:hAnsi="Garamond"/>
          <w:b/>
          <w:sz w:val="26"/>
          <w:szCs w:val="26"/>
        </w:rPr>
        <w:t xml:space="preserve">ФУНКЦИОНИРОВАНИЯ УЧАСТНИКОВ ОПТОВОГО РЫНКА НА ТЕРРИТОРИИ НЕЦЕНОВЫХ ЗОН </w:t>
      </w:r>
      <w:r w:rsidRPr="00F53E4B">
        <w:rPr>
          <w:rFonts w:ascii="Garamond" w:hAnsi="Garamond"/>
          <w:b/>
          <w:sz w:val="26"/>
          <w:szCs w:val="26"/>
        </w:rPr>
        <w:t xml:space="preserve">(Приложение № </w:t>
      </w:r>
      <w:r w:rsidR="009915C5" w:rsidRPr="00F53E4B">
        <w:rPr>
          <w:rFonts w:ascii="Garamond" w:hAnsi="Garamond"/>
          <w:b/>
          <w:sz w:val="26"/>
          <w:szCs w:val="26"/>
        </w:rPr>
        <w:t>14</w:t>
      </w:r>
      <w:r w:rsidRPr="00F53E4B">
        <w:rPr>
          <w:rFonts w:ascii="Garamond" w:hAnsi="Garamond"/>
          <w:b/>
          <w:sz w:val="26"/>
          <w:szCs w:val="26"/>
        </w:rPr>
        <w:t xml:space="preserve"> к Договору о присоединении к торговой системе оптового рынка)</w:t>
      </w:r>
    </w:p>
    <w:p w:rsidR="00AB4B70" w:rsidRPr="006A5CF1" w:rsidRDefault="00AB4B70" w:rsidP="00AB4B70">
      <w:pPr>
        <w:rPr>
          <w:b/>
          <w:sz w:val="2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833"/>
        <w:gridCol w:w="7342"/>
      </w:tblGrid>
      <w:tr w:rsidR="00AB4B70" w:rsidRPr="00745C47" w:rsidTr="00F53E4B">
        <w:tc>
          <w:tcPr>
            <w:tcW w:w="993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833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342" w:type="dxa"/>
            <w:vAlign w:val="center"/>
          </w:tcPr>
          <w:p w:rsidR="00AB4B70" w:rsidRPr="00745C47" w:rsidRDefault="00AB4B70" w:rsidP="00A018F3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745C4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AB4B70" w:rsidRPr="00745C47" w:rsidRDefault="00AB4B70" w:rsidP="00A018F3">
            <w:pPr>
              <w:jc w:val="center"/>
              <w:rPr>
                <w:rFonts w:ascii="Garamond" w:hAnsi="Garamond"/>
                <w:sz w:val="22"/>
              </w:rPr>
            </w:pPr>
            <w:r w:rsidRPr="00745C4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8C3CFE" w:rsidRPr="008C3CFE" w:rsidTr="00F53E4B">
        <w:trPr>
          <w:trHeight w:val="1692"/>
        </w:trPr>
        <w:tc>
          <w:tcPr>
            <w:tcW w:w="993" w:type="dxa"/>
            <w:vAlign w:val="center"/>
          </w:tcPr>
          <w:p w:rsidR="001A6762" w:rsidRPr="008C3CFE" w:rsidRDefault="004E06CE" w:rsidP="005E3F4C">
            <w:pPr>
              <w:ind w:left="-114" w:right="-10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3CFE">
              <w:rPr>
                <w:rFonts w:ascii="Garamond" w:hAnsi="Garamond"/>
                <w:b/>
                <w:sz w:val="22"/>
                <w:szCs w:val="22"/>
              </w:rPr>
              <w:t>20</w:t>
            </w:r>
          </w:p>
        </w:tc>
        <w:tc>
          <w:tcPr>
            <w:tcW w:w="6833" w:type="dxa"/>
          </w:tcPr>
          <w:p w:rsidR="00F34C44" w:rsidRPr="008C3CFE" w:rsidRDefault="00F34C44" w:rsidP="00F53E4B">
            <w:pPr>
              <w:pStyle w:val="3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C3CFE">
              <w:rPr>
                <w:rFonts w:ascii="Garamond" w:hAnsi="Garamond"/>
                <w:sz w:val="22"/>
                <w:szCs w:val="22"/>
              </w:rPr>
              <w:t>20. Проведени</w:t>
            </w:r>
            <w:r>
              <w:rPr>
                <w:rFonts w:ascii="Garamond" w:hAnsi="Garamond"/>
                <w:sz w:val="22"/>
                <w:szCs w:val="22"/>
              </w:rPr>
              <w:t>е</w:t>
            </w:r>
            <w:r w:rsidRPr="008C3CFE">
              <w:rPr>
                <w:rFonts w:ascii="Garamond" w:hAnsi="Garamond"/>
                <w:sz w:val="22"/>
                <w:szCs w:val="22"/>
              </w:rPr>
              <w:t xml:space="preserve"> расчетов выбора состава генерирующего оборудования на территории второй неценовой зоны</w:t>
            </w:r>
          </w:p>
          <w:p w:rsidR="00F34C44" w:rsidRPr="008C3CFE" w:rsidRDefault="00F34C44" w:rsidP="00F53E4B">
            <w:pPr>
              <w:pStyle w:val="3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C3CFE">
              <w:rPr>
                <w:rFonts w:ascii="Garamond" w:hAnsi="Garamond"/>
                <w:sz w:val="22"/>
                <w:szCs w:val="22"/>
              </w:rPr>
              <w:t>20.1. Ценовые характеристики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C3CFE">
              <w:rPr>
                <w:rFonts w:ascii="Garamond" w:hAnsi="Garamond"/>
                <w:sz w:val="22"/>
                <w:szCs w:val="22"/>
              </w:rPr>
              <w:t xml:space="preserve">применяемые </w:t>
            </w:r>
            <w:r>
              <w:rPr>
                <w:rFonts w:ascii="Garamond" w:hAnsi="Garamond"/>
                <w:sz w:val="22"/>
                <w:szCs w:val="22"/>
              </w:rPr>
              <w:t xml:space="preserve">при </w:t>
            </w:r>
            <w:r w:rsidRPr="008C3CFE">
              <w:rPr>
                <w:rFonts w:ascii="Garamond" w:hAnsi="Garamond"/>
                <w:sz w:val="22"/>
                <w:szCs w:val="22"/>
              </w:rPr>
              <w:t>проведении расчетов ВСВГО</w:t>
            </w:r>
          </w:p>
          <w:p w:rsidR="00F34C44" w:rsidRPr="008C3CFE" w:rsidRDefault="00F34C44" w:rsidP="00F53E4B">
            <w:pPr>
              <w:pStyle w:val="5"/>
              <w:spacing w:before="120" w:after="120"/>
              <w:ind w:firstLine="708"/>
              <w:jc w:val="both"/>
              <w:rPr>
                <w:rFonts w:ascii="Garamond" w:hAnsi="Garamond"/>
                <w:bCs/>
                <w:color w:val="auto"/>
                <w:sz w:val="22"/>
                <w:szCs w:val="22"/>
              </w:rPr>
            </w:pP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В качестве ценовых характеристик </w:t>
            </w:r>
            <w:r>
              <w:rPr>
                <w:rFonts w:ascii="Garamond" w:hAnsi="Garamond"/>
                <w:bCs/>
                <w:color w:val="auto"/>
                <w:sz w:val="22"/>
                <w:szCs w:val="22"/>
              </w:rPr>
              <w:t>для</w:t>
            </w: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расчетов выбора состава генерирующего оборудования на территории второй неценовой зоны использу</w:t>
            </w:r>
            <w:r>
              <w:rPr>
                <w:rFonts w:ascii="Garamond" w:hAnsi="Garamond"/>
                <w:bCs/>
                <w:color w:val="auto"/>
                <w:sz w:val="22"/>
                <w:szCs w:val="22"/>
              </w:rPr>
              <w:t>ю</w:t>
            </w: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>тся следующие показатели:</w:t>
            </w:r>
          </w:p>
          <w:p w:rsidR="00F34C44" w:rsidRPr="00F34C44" w:rsidRDefault="00F34C44" w:rsidP="00F53E4B">
            <w:pPr>
              <w:pStyle w:val="5"/>
              <w:numPr>
                <w:ilvl w:val="0"/>
                <w:numId w:val="13"/>
              </w:numPr>
              <w:spacing w:before="120" w:after="120"/>
              <w:jc w:val="both"/>
              <w:rPr>
                <w:rFonts w:ascii="Garamond" w:hAnsi="Garamond"/>
                <w:bCs/>
                <w:color w:val="auto"/>
                <w:sz w:val="22"/>
                <w:szCs w:val="22"/>
                <w:highlight w:val="yellow"/>
              </w:rPr>
            </w:pPr>
            <w:r w:rsidRPr="00F34C44">
              <w:rPr>
                <w:rFonts w:ascii="Garamond" w:hAnsi="Garamond"/>
                <w:bCs/>
                <w:color w:val="auto"/>
                <w:sz w:val="22"/>
                <w:szCs w:val="22"/>
                <w:highlight w:val="yellow"/>
              </w:rPr>
              <w:t>установленные федеральным органом исполнительной власти в области регулирования тарифов для поставщиков электрической энергии и мощности второй неценовой зоны тарифы на поставку электроэнергии на оптовый рынок;</w:t>
            </w:r>
          </w:p>
          <w:p w:rsidR="00F34C44" w:rsidRPr="002A1AA2" w:rsidRDefault="00F34C44" w:rsidP="00F53E4B">
            <w:pPr>
              <w:pStyle w:val="5"/>
              <w:keepNext w:val="0"/>
              <w:keepLines w:val="0"/>
              <w:numPr>
                <w:ilvl w:val="0"/>
                <w:numId w:val="13"/>
              </w:numPr>
              <w:spacing w:before="120" w:after="120"/>
              <w:jc w:val="both"/>
              <w:rPr>
                <w:rFonts w:ascii="Garamond" w:hAnsi="Garamond"/>
                <w:bCs/>
                <w:color w:val="auto"/>
                <w:sz w:val="22"/>
                <w:szCs w:val="22"/>
              </w:rPr>
            </w:pP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>установленн</w:t>
            </w:r>
            <w:r>
              <w:rPr>
                <w:rFonts w:ascii="Garamond" w:hAnsi="Garamond"/>
                <w:bCs/>
                <w:color w:val="auto"/>
                <w:sz w:val="22"/>
                <w:szCs w:val="22"/>
              </w:rPr>
              <w:t>ая</w:t>
            </w: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федеральным органом исполнительной власти в области регулирования тарифов для поставщиков электрической энергии и мощности второй неценовой зоны</w:t>
            </w:r>
            <w:r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регулируемая цена (тариф) на электрическую энергию на уровне средневзвешенной величины по всем включенным в прогнозный баланс объемам производства электрической энергии тепловых электростанций, в отношении которых </w:t>
            </w:r>
            <w:r w:rsidRP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>поставщик участвуе</w:t>
            </w:r>
            <w:r>
              <w:rPr>
                <w:rFonts w:ascii="Garamond" w:hAnsi="Garamond"/>
                <w:bCs/>
                <w:color w:val="auto"/>
                <w:sz w:val="22"/>
                <w:szCs w:val="22"/>
              </w:rPr>
              <w:t>т</w:t>
            </w:r>
            <w:r w:rsidRP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в торговле электрической энергией и мощностью на оптовом рынке;</w:t>
            </w:r>
          </w:p>
          <w:p w:rsidR="00F34C44" w:rsidRPr="002E2A37" w:rsidRDefault="00F34C44" w:rsidP="00F53E4B">
            <w:pPr>
              <w:pStyle w:val="5"/>
              <w:keepNext w:val="0"/>
              <w:keepLines w:val="0"/>
              <w:numPr>
                <w:ilvl w:val="0"/>
                <w:numId w:val="13"/>
              </w:numPr>
              <w:spacing w:before="120" w:after="120"/>
              <w:jc w:val="both"/>
              <w:rPr>
                <w:rFonts w:ascii="Garamond" w:hAnsi="Garamond"/>
                <w:bCs/>
                <w:color w:val="auto"/>
                <w:sz w:val="22"/>
                <w:szCs w:val="22"/>
              </w:rPr>
            </w:pP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приоритеты отбора ЕГО в работу, заявленные поставщиками электрической энергии и мощности второй неценовой зоны в соответствии с </w:t>
            </w:r>
            <w:r w:rsidRPr="007720CA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 xml:space="preserve">Регламентом подачи </w:t>
            </w:r>
            <w:r w:rsidRPr="002E2A37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>уведомлений участниками оптового рынка</w:t>
            </w:r>
            <w:r w:rsidRPr="002E2A37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(Приложение № 4 к </w:t>
            </w:r>
            <w:r w:rsidRPr="002E2A37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>Договору о присоединении к торговой системе оптового рынка</w:t>
            </w:r>
            <w:r w:rsidRPr="002E2A37">
              <w:rPr>
                <w:rFonts w:ascii="Garamond" w:hAnsi="Garamond"/>
                <w:bCs/>
                <w:color w:val="auto"/>
                <w:sz w:val="22"/>
                <w:szCs w:val="22"/>
              </w:rPr>
              <w:t>).</w:t>
            </w:r>
          </w:p>
          <w:p w:rsidR="008B5527" w:rsidRDefault="00F34C44" w:rsidP="00F53E4B">
            <w:pPr>
              <w:tabs>
                <w:tab w:val="left" w:pos="1427"/>
              </w:tabs>
              <w:spacing w:before="120" w:after="12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8B5527" w:rsidRDefault="008B5527" w:rsidP="00F53E4B">
            <w:pPr>
              <w:spacing w:before="120" w:after="120"/>
              <w:rPr>
                <w:rFonts w:ascii="Garamond" w:hAnsi="Garamond"/>
                <w:sz w:val="22"/>
                <w:szCs w:val="22"/>
              </w:rPr>
            </w:pPr>
          </w:p>
          <w:p w:rsidR="008B5527" w:rsidRPr="008C3CFE" w:rsidRDefault="0046249D" w:rsidP="00F53E4B">
            <w:pPr>
              <w:pStyle w:val="3"/>
              <w:spacing w:before="120" w:after="120"/>
              <w:ind w:left="-6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20.5.11</w:t>
            </w:r>
            <w:r w:rsidR="008B5527" w:rsidRPr="008C3CFE">
              <w:rPr>
                <w:rFonts w:ascii="Garamond" w:hAnsi="Garamond"/>
                <w:sz w:val="22"/>
                <w:szCs w:val="22"/>
              </w:rPr>
              <w:t>. Порядок публикации информации</w:t>
            </w:r>
          </w:p>
          <w:p w:rsidR="008B5527" w:rsidRPr="008C3CFE" w:rsidRDefault="008B5527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</w:pPr>
            <w:r w:rsidRPr="008C3CFE"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  <w:t>СО публикует на сайте ОРЭМ СО следующую информацию в отношении каждого расчета ВСВГО:</w:t>
            </w:r>
          </w:p>
          <w:p w:rsidR="008B5527" w:rsidRDefault="008B5527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</w:pPr>
            <w:r w:rsidRPr="003A354E"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  <w:t>В общем доступе:</w:t>
            </w:r>
          </w:p>
          <w:p w:rsidR="008B5527" w:rsidRPr="008B5527" w:rsidRDefault="008B5527" w:rsidP="00F53E4B">
            <w:pPr>
              <w:spacing w:before="120" w:after="120"/>
            </w:pPr>
            <w:r>
              <w:t>…</w:t>
            </w:r>
          </w:p>
          <w:p w:rsidR="008B5527" w:rsidRPr="003639D1" w:rsidRDefault="008B5527" w:rsidP="00F53E4B">
            <w:pPr>
              <w:numPr>
                <w:ilvl w:val="0"/>
                <w:numId w:val="17"/>
              </w:numPr>
              <w:tabs>
                <w:tab w:val="num" w:pos="317"/>
              </w:tabs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прогнозные по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часовые суммарные значения следующих параметров включенного генерирующего оборудования в разрезе региональных энергосистем,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второй не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ценов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ой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 зон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 оптового рынка:</w:t>
            </w:r>
          </w:p>
          <w:p w:rsidR="008B5527" w:rsidRPr="003639D1" w:rsidRDefault="008B5527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объем выработки ГЭС/Электростанций промышленных предприятий/ВИЭ,</w:t>
            </w:r>
          </w:p>
          <w:p w:rsidR="008B5527" w:rsidRPr="003639D1" w:rsidRDefault="008B5527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sz w:val="22"/>
                <w:szCs w:val="22"/>
              </w:rPr>
              <w:t>минимальная и максимальная мощность генерирующего оборудования ТЭС, отобранного по результатам ВСВГО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,</w:t>
            </w:r>
          </w:p>
          <w:p w:rsidR="008B5527" w:rsidRPr="003639D1" w:rsidRDefault="008B5527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максимальная мощность режимных генераторов,</w:t>
            </w:r>
          </w:p>
          <w:p w:rsidR="008B5527" w:rsidRPr="003639D1" w:rsidRDefault="008B5527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максимальная мощность генерирующего оборудования, отобранного в результате процедуры ВСВГО по требованию участника оптового рынка;</w:t>
            </w:r>
          </w:p>
          <w:p w:rsidR="008B5527" w:rsidRPr="008B5527" w:rsidRDefault="008B5527" w:rsidP="00F53E4B">
            <w:pPr>
              <w:numPr>
                <w:ilvl w:val="0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значения ценовых характеристик, численно равные тарифам на поставку электроэнергии на оптовый рынок, установленные федеральным органом исполнительной власти в области регулирования тарифов для поставщиков электрической энергии и мощности второй неценовой зоны в отношении каждого часа в разрезе второй неценовой зоны и региональных энергосистем по группам:</w:t>
            </w:r>
          </w:p>
          <w:p w:rsidR="008B5527" w:rsidRPr="008B5527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генерирующее оборудование ТЭС второй неценовой зоны, в отношении которого федеральным органом исполнительной власти в области регулирования тарифов установлены тарифы на поставку электроэнергии на оптовый рынок,</w:t>
            </w:r>
          </w:p>
          <w:p w:rsidR="008B5527" w:rsidRPr="008B5527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генерирующее оборудование ТЭС, отобранное в результате процедуры ВСВГО,</w:t>
            </w:r>
          </w:p>
          <w:p w:rsidR="008B5527" w:rsidRPr="008B5527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режимные генераторы ТЭС, </w:t>
            </w:r>
          </w:p>
          <w:p w:rsidR="008B5527" w:rsidRPr="008B5527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генерирующее оборудование ТЭС, отобранное в результате процедуры ВСВГО по требованию </w:t>
            </w: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lastRenderedPageBreak/>
              <w:t>участника оптового рынка;</w:t>
            </w:r>
          </w:p>
          <w:p w:rsidR="008B5527" w:rsidRPr="003639D1" w:rsidRDefault="008B5527" w:rsidP="00F53E4B">
            <w:pPr>
              <w:numPr>
                <w:ilvl w:val="0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количественные по</w:t>
            </w:r>
            <w: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часовые показатели включенного и отключенного в результате процедуры ВСВГО генерирующего оборудования (количество ЕГО, изменивших свое состояние в результате ВСВГО) в разрезе </w:t>
            </w:r>
            <w: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второй неценовой зоны 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оптового рынка и региональных энергосистем по группам:</w:t>
            </w:r>
          </w:p>
          <w:p w:rsidR="008B5527" w:rsidRPr="003639D1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генерирующее оборудование, отобранное в результате процедуры ВСВГО,</w:t>
            </w:r>
          </w:p>
          <w:p w:rsidR="008B5527" w:rsidRPr="003639D1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режимные генераторы, </w:t>
            </w:r>
          </w:p>
          <w:p w:rsidR="008B5527" w:rsidRPr="003639D1" w:rsidRDefault="008B5527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генерирующее оборудование, отобранное в результате процедуры ВСВГО по требованию участника оптового рынка;</w:t>
            </w:r>
          </w:p>
          <w:p w:rsidR="008B5527" w:rsidRDefault="008B5527" w:rsidP="00F53E4B">
            <w:p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8B5527" w:rsidRPr="0046249D" w:rsidRDefault="008B5527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Cs w:val="0"/>
                <w:sz w:val="22"/>
                <w:szCs w:val="22"/>
              </w:rPr>
            </w:pPr>
            <w:r w:rsidRPr="0046249D">
              <w:rPr>
                <w:rFonts w:ascii="Garamond" w:eastAsia="Times New Roman" w:hAnsi="Garamond" w:cs="Times New Roman"/>
                <w:bCs w:val="0"/>
                <w:sz w:val="22"/>
                <w:szCs w:val="22"/>
              </w:rPr>
              <w:t>На персональных страницах участников оптового рынка:</w:t>
            </w:r>
          </w:p>
          <w:p w:rsidR="00890AF5" w:rsidRPr="0046249D" w:rsidRDefault="00890AF5" w:rsidP="00F53E4B">
            <w:pPr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46249D">
              <w:rPr>
                <w:rFonts w:ascii="Garamond" w:hAnsi="Garamond"/>
                <w:sz w:val="22"/>
                <w:szCs w:val="22"/>
              </w:rPr>
              <w:t>…</w:t>
            </w:r>
          </w:p>
          <w:p w:rsidR="008B5527" w:rsidRPr="003639D1" w:rsidRDefault="008B5527" w:rsidP="00F53E4B">
            <w:pPr>
              <w:numPr>
                <w:ilvl w:val="0"/>
                <w:numId w:val="25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соотношение поданных участником оптового рынка и использованных СО при проведении процедуры ВСВГО ограничений на максимальное количество </w:t>
            </w:r>
            <w:r w:rsidRPr="003639D1">
              <w:rPr>
                <w:rFonts w:ascii="Garamond" w:hAnsi="Garamond"/>
                <w:sz w:val="22"/>
                <w:szCs w:val="22"/>
                <w:lang w:eastAsia="en-US"/>
              </w:rPr>
              <w:t xml:space="preserve">включений/отключений 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ЕГО за период расчета ВСВГО;</w:t>
            </w:r>
          </w:p>
          <w:p w:rsidR="008B5527" w:rsidRPr="008B5527" w:rsidRDefault="008B5527" w:rsidP="00F53E4B">
            <w:pPr>
              <w:widowControl w:val="0"/>
              <w:numPr>
                <w:ilvl w:val="0"/>
                <w:numId w:val="29"/>
              </w:numPr>
              <w:suppressAutoHyphens/>
              <w:spacing w:before="120" w:after="120"/>
              <w:ind w:left="1702" w:hanging="284"/>
              <w:jc w:val="both"/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B5527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в отношении каждого субъекта РФ – получасовые значения ценовых показателей ВСВГО, определяемые как значения </w:t>
            </w: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тарифов на поставку электроэнергии на оптовый рынок, установленные федеральным органом исполнительной власти в области регулирования тарифов для поставщиков электрической энергии и мощности второй неценовой зоны</w:t>
            </w:r>
            <w:r w:rsidRPr="008B5527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 xml:space="preserve">, в пределах суммарного значения технического максимума (для групп ЕГО – в пределах суммарного по включенным ЕГО, входящих в группу ЕГО, значения технического максимума), средневзвешенные по объемам, входящим в 20% объемов с наибольшими значениями </w:t>
            </w: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тарифов на поставку электроэнергии на оптовый рынок, установленные федеральным органом </w:t>
            </w:r>
            <w:r w:rsidRPr="008B552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lastRenderedPageBreak/>
              <w:t>исполнительной власти в области регулирования тарифов для поставщиков электрической энергии и мощности второй неценовой зоны</w:t>
            </w:r>
            <w:r w:rsidRPr="008B5527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  <w:t>, состояние которых определено как включенное в результате решения оптимизационной задачи ВСВГО (по группам ЕГО, содержащим хотя бы одну ЕГО, для которой выполнены указанные условия);</w:t>
            </w:r>
          </w:p>
          <w:p w:rsidR="005E3F4C" w:rsidRPr="005E3F4C" w:rsidRDefault="008B5527" w:rsidP="00F53E4B">
            <w:pPr>
              <w:numPr>
                <w:ilvl w:val="0"/>
                <w:numId w:val="26"/>
              </w:numPr>
              <w:spacing w:before="120" w:after="12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по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часовые значения активной мощности по РГЕ/ГТП в о</w:t>
            </w:r>
            <w:bookmarkStart w:id="0" w:name="_GoBack"/>
            <w:bookmarkEnd w:id="0"/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тношении периода ВСВГО;</w:t>
            </w:r>
          </w:p>
          <w:p w:rsidR="001A6762" w:rsidRPr="008B5527" w:rsidRDefault="00890AF5" w:rsidP="00F53E4B">
            <w:pPr>
              <w:numPr>
                <w:ilvl w:val="0"/>
                <w:numId w:val="26"/>
              </w:numPr>
              <w:spacing w:before="120" w:after="120"/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342" w:type="dxa"/>
          </w:tcPr>
          <w:p w:rsidR="008C3CFE" w:rsidRPr="008C3CFE" w:rsidRDefault="008C3CFE" w:rsidP="00F53E4B">
            <w:pPr>
              <w:pStyle w:val="3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C3CFE">
              <w:rPr>
                <w:rFonts w:ascii="Garamond" w:hAnsi="Garamond"/>
                <w:sz w:val="22"/>
                <w:szCs w:val="22"/>
              </w:rPr>
              <w:lastRenderedPageBreak/>
              <w:t>20. Проведени</w:t>
            </w:r>
            <w:r w:rsidR="002A19D6">
              <w:rPr>
                <w:rFonts w:ascii="Garamond" w:hAnsi="Garamond"/>
                <w:sz w:val="22"/>
                <w:szCs w:val="22"/>
              </w:rPr>
              <w:t>е</w:t>
            </w:r>
            <w:r w:rsidRPr="008C3CFE">
              <w:rPr>
                <w:rFonts w:ascii="Garamond" w:hAnsi="Garamond"/>
                <w:sz w:val="22"/>
                <w:szCs w:val="22"/>
              </w:rPr>
              <w:t xml:space="preserve"> расчетов выбора состава генерирующего оборудования на территории второй неценовой зоны</w:t>
            </w:r>
          </w:p>
          <w:p w:rsidR="008C3CFE" w:rsidRPr="008C3CFE" w:rsidRDefault="008C3CFE" w:rsidP="00F53E4B">
            <w:pPr>
              <w:pStyle w:val="3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bookmarkStart w:id="1" w:name="_Toc368046301"/>
            <w:bookmarkStart w:id="2" w:name="_Toc168803481"/>
            <w:bookmarkStart w:id="3" w:name="_Toc168803752"/>
            <w:r w:rsidRPr="008C3CFE">
              <w:rPr>
                <w:rFonts w:ascii="Garamond" w:hAnsi="Garamond"/>
                <w:sz w:val="22"/>
                <w:szCs w:val="22"/>
              </w:rPr>
              <w:t xml:space="preserve">20.1. </w:t>
            </w:r>
            <w:bookmarkEnd w:id="1"/>
            <w:r w:rsidRPr="008C3CFE">
              <w:rPr>
                <w:rFonts w:ascii="Garamond" w:hAnsi="Garamond"/>
                <w:sz w:val="22"/>
                <w:szCs w:val="22"/>
              </w:rPr>
              <w:t>Ценовые характеристики</w:t>
            </w:r>
            <w:r w:rsidR="009354BB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C3CFE">
              <w:rPr>
                <w:rFonts w:ascii="Garamond" w:hAnsi="Garamond"/>
                <w:sz w:val="22"/>
                <w:szCs w:val="22"/>
              </w:rPr>
              <w:t xml:space="preserve">применяемые </w:t>
            </w:r>
            <w:r w:rsidR="009354BB">
              <w:rPr>
                <w:rFonts w:ascii="Garamond" w:hAnsi="Garamond"/>
                <w:sz w:val="22"/>
                <w:szCs w:val="22"/>
              </w:rPr>
              <w:t xml:space="preserve">при </w:t>
            </w:r>
            <w:r w:rsidRPr="008C3CFE">
              <w:rPr>
                <w:rFonts w:ascii="Garamond" w:hAnsi="Garamond"/>
                <w:sz w:val="22"/>
                <w:szCs w:val="22"/>
              </w:rPr>
              <w:t>проведении расчетов ВСВГО</w:t>
            </w:r>
          </w:p>
          <w:p w:rsidR="00F34C44" w:rsidRPr="00F34C44" w:rsidRDefault="008C3CFE" w:rsidP="00F53E4B">
            <w:pPr>
              <w:pStyle w:val="5"/>
              <w:spacing w:before="120" w:after="120"/>
              <w:ind w:firstLine="708"/>
              <w:jc w:val="both"/>
              <w:rPr>
                <w:rFonts w:ascii="Garamond" w:hAnsi="Garamond"/>
                <w:bCs/>
                <w:color w:val="auto"/>
                <w:sz w:val="22"/>
                <w:szCs w:val="22"/>
              </w:rPr>
            </w:pP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В качестве ценовых характеристик </w:t>
            </w:r>
            <w:r w:rsidR="006A157C">
              <w:rPr>
                <w:rFonts w:ascii="Garamond" w:hAnsi="Garamond"/>
                <w:bCs/>
                <w:color w:val="auto"/>
                <w:sz w:val="22"/>
                <w:szCs w:val="22"/>
              </w:rPr>
              <w:t>для</w:t>
            </w: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расчетов выбора состава генерирующего оборудования на территории второй неценовой зоны использу</w:t>
            </w:r>
            <w:r w:rsidR="00433DA4">
              <w:rPr>
                <w:rFonts w:ascii="Garamond" w:hAnsi="Garamond"/>
                <w:bCs/>
                <w:color w:val="auto"/>
                <w:sz w:val="22"/>
                <w:szCs w:val="22"/>
              </w:rPr>
              <w:t>ю</w:t>
            </w:r>
            <w:r w:rsidRPr="008C3CFE">
              <w:rPr>
                <w:rFonts w:ascii="Garamond" w:hAnsi="Garamond"/>
                <w:bCs/>
                <w:color w:val="auto"/>
                <w:sz w:val="22"/>
                <w:szCs w:val="22"/>
              </w:rPr>
              <w:t>тся следующие показатели:</w:t>
            </w:r>
          </w:p>
          <w:p w:rsidR="008C3CFE" w:rsidRPr="002A1AA2" w:rsidRDefault="008C3CFE" w:rsidP="00F53E4B">
            <w:pPr>
              <w:pStyle w:val="5"/>
              <w:keepNext w:val="0"/>
              <w:keepLines w:val="0"/>
              <w:numPr>
                <w:ilvl w:val="0"/>
                <w:numId w:val="13"/>
              </w:numPr>
              <w:spacing w:before="120" w:after="120"/>
              <w:jc w:val="both"/>
              <w:rPr>
                <w:rFonts w:ascii="Garamond" w:hAnsi="Garamond"/>
                <w:bCs/>
                <w:color w:val="auto"/>
                <w:sz w:val="22"/>
                <w:szCs w:val="22"/>
              </w:rPr>
            </w:pP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>установленн</w:t>
            </w:r>
            <w:r w:rsid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>ая</w:t>
            </w: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федеральным органом исполнительной власти в области регулирования тарифов для поставщиков электрической энергии и мощности второй неценовой зоны</w:t>
            </w:r>
            <w:r w:rsid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регулируемая цена (тариф) на электрическую энергию на уровне средневзвешенной величины по всем </w:t>
            </w:r>
            <w:r w:rsidR="00A6085E">
              <w:rPr>
                <w:rFonts w:ascii="Garamond" w:hAnsi="Garamond"/>
                <w:bCs/>
                <w:color w:val="auto"/>
                <w:sz w:val="22"/>
                <w:szCs w:val="22"/>
              </w:rPr>
              <w:t>включенным в прогнозный баланс объемам производства электрической энергии тепловых электростанций,</w:t>
            </w:r>
            <w:r w:rsid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в отношении которых </w:t>
            </w:r>
            <w:r w:rsidR="002A1AA2" w:rsidRP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>поставщик участвуе</w:t>
            </w:r>
            <w:r w:rsid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>т</w:t>
            </w:r>
            <w:r w:rsidR="002A1AA2" w:rsidRP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в торговле электрической энергией и мощностью на оптовом рынке</w:t>
            </w:r>
            <w:r w:rsidRPr="002A1AA2">
              <w:rPr>
                <w:rFonts w:ascii="Garamond" w:hAnsi="Garamond"/>
                <w:bCs/>
                <w:color w:val="auto"/>
                <w:sz w:val="22"/>
                <w:szCs w:val="22"/>
              </w:rPr>
              <w:t>;</w:t>
            </w:r>
          </w:p>
          <w:p w:rsidR="00F34C44" w:rsidRPr="008C3CFE" w:rsidRDefault="008C3CFE" w:rsidP="00F53E4B">
            <w:pPr>
              <w:pStyle w:val="5"/>
              <w:keepNext w:val="0"/>
              <w:keepLines w:val="0"/>
              <w:numPr>
                <w:ilvl w:val="0"/>
                <w:numId w:val="1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7720CA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приоритеты отбора ЕГО в работу, заявленные поставщиками электрической энергии и мощности второй неценовой зоны в соответствии с </w:t>
            </w:r>
            <w:r w:rsidRPr="007720CA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 xml:space="preserve">Регламентом подачи </w:t>
            </w:r>
            <w:r w:rsidRPr="002E2A37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>уведомлений участниками оптового рынка</w:t>
            </w:r>
            <w:r w:rsidRPr="002E2A37">
              <w:rPr>
                <w:rFonts w:ascii="Garamond" w:hAnsi="Garamond"/>
                <w:bCs/>
                <w:color w:val="auto"/>
                <w:sz w:val="22"/>
                <w:szCs w:val="22"/>
              </w:rPr>
              <w:t xml:space="preserve"> (Приложение № 4 к </w:t>
            </w:r>
            <w:r w:rsidRPr="002E2A37">
              <w:rPr>
                <w:rFonts w:ascii="Garamond" w:hAnsi="Garamond"/>
                <w:bCs/>
                <w:i/>
                <w:color w:val="auto"/>
                <w:sz w:val="22"/>
                <w:szCs w:val="22"/>
              </w:rPr>
              <w:t>Договору о присоединении к торговой системе оптового рынка</w:t>
            </w:r>
            <w:r w:rsidRPr="002E2A37">
              <w:rPr>
                <w:rFonts w:ascii="Garamond" w:hAnsi="Garamond"/>
                <w:bCs/>
                <w:color w:val="auto"/>
                <w:sz w:val="22"/>
                <w:szCs w:val="22"/>
              </w:rPr>
              <w:t>).</w:t>
            </w:r>
          </w:p>
          <w:p w:rsidR="008B5527" w:rsidRDefault="008B5527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:rsidR="008B5527" w:rsidRDefault="008B5527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:rsidR="008B5527" w:rsidRDefault="008B5527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:rsidR="005E3F4C" w:rsidRPr="005E3F4C" w:rsidRDefault="005E3F4C" w:rsidP="00F53E4B">
            <w:pPr>
              <w:spacing w:before="120" w:after="120"/>
            </w:pPr>
          </w:p>
          <w:p w:rsidR="008B5527" w:rsidRDefault="008B5527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:rsidR="008B5527" w:rsidRDefault="008B5527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:rsidR="008C3CFE" w:rsidRDefault="00F34C44" w:rsidP="00F53E4B">
            <w:pPr>
              <w:pStyle w:val="5"/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>…</w:t>
            </w:r>
          </w:p>
          <w:p w:rsidR="008B5527" w:rsidRPr="008B5527" w:rsidRDefault="008B5527" w:rsidP="00F53E4B">
            <w:pPr>
              <w:spacing w:before="120" w:after="120"/>
            </w:pPr>
          </w:p>
          <w:p w:rsidR="008C3CFE" w:rsidRPr="008C3CFE" w:rsidRDefault="0046249D" w:rsidP="00F53E4B">
            <w:pPr>
              <w:pStyle w:val="3"/>
              <w:spacing w:before="120" w:after="120"/>
              <w:ind w:left="-6"/>
              <w:jc w:val="both"/>
              <w:rPr>
                <w:rFonts w:ascii="Garamond" w:hAnsi="Garamond"/>
                <w:sz w:val="22"/>
                <w:szCs w:val="22"/>
              </w:rPr>
            </w:pPr>
            <w:bookmarkStart w:id="4" w:name="_Toc368046320"/>
            <w:bookmarkEnd w:id="2"/>
            <w:bookmarkEnd w:id="3"/>
            <w:r>
              <w:rPr>
                <w:rFonts w:ascii="Garamond" w:hAnsi="Garamond"/>
                <w:sz w:val="22"/>
                <w:szCs w:val="22"/>
              </w:rPr>
              <w:t>20.5.11</w:t>
            </w:r>
            <w:r w:rsidR="008C3CFE" w:rsidRPr="008C3CFE">
              <w:rPr>
                <w:rFonts w:ascii="Garamond" w:hAnsi="Garamond"/>
                <w:sz w:val="22"/>
                <w:szCs w:val="22"/>
              </w:rPr>
              <w:t>. Порядок публикации информации</w:t>
            </w:r>
            <w:bookmarkEnd w:id="4"/>
          </w:p>
          <w:p w:rsidR="008C3CFE" w:rsidRPr="008C3CFE" w:rsidRDefault="008C3CFE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</w:pPr>
            <w:r w:rsidRPr="008C3CFE"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  <w:t>СО публикует на сайте ОРЭМ СО следующую информацию в отношении каждого расчета ВСВГО:</w:t>
            </w:r>
          </w:p>
          <w:p w:rsidR="008C3CFE" w:rsidRDefault="008C3CFE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</w:pPr>
            <w:r w:rsidRPr="003A354E">
              <w:rPr>
                <w:rFonts w:ascii="Garamond" w:eastAsia="Times New Roman" w:hAnsi="Garamond" w:cs="Times New Roman"/>
                <w:b w:val="0"/>
                <w:bCs w:val="0"/>
                <w:sz w:val="22"/>
                <w:szCs w:val="22"/>
              </w:rPr>
              <w:t>В общем доступе:</w:t>
            </w:r>
          </w:p>
          <w:p w:rsidR="008B5527" w:rsidRPr="008B5527" w:rsidRDefault="008B5527" w:rsidP="00F53E4B">
            <w:pPr>
              <w:spacing w:before="120" w:after="120"/>
            </w:pPr>
            <w:r>
              <w:t>…</w:t>
            </w:r>
          </w:p>
          <w:p w:rsidR="003639D1" w:rsidRPr="003639D1" w:rsidRDefault="003639D1" w:rsidP="00F53E4B">
            <w:pPr>
              <w:numPr>
                <w:ilvl w:val="0"/>
                <w:numId w:val="17"/>
              </w:numPr>
              <w:tabs>
                <w:tab w:val="num" w:pos="317"/>
              </w:tabs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прогнозные по</w:t>
            </w:r>
            <w:r w:rsidR="006F0FBD">
              <w:rPr>
                <w:rFonts w:ascii="Garamond" w:hAnsi="Garamond"/>
                <w:color w:val="000000"/>
                <w:sz w:val="22"/>
                <w:szCs w:val="22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часовые суммарные значения следующих параметров включенного генерирующего оборудования в разрезе региональных энергосистем,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второй не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ценов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ой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 зон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ы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 xml:space="preserve"> оптового рынка:</w:t>
            </w:r>
          </w:p>
          <w:p w:rsidR="003639D1" w:rsidRPr="003639D1" w:rsidRDefault="003639D1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объем выработки ГЭС/Электростанций промышленных предприятий/ВИЭ,</w:t>
            </w:r>
          </w:p>
          <w:p w:rsidR="003639D1" w:rsidRPr="003639D1" w:rsidRDefault="003639D1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sz w:val="22"/>
                <w:szCs w:val="22"/>
              </w:rPr>
              <w:t>минимальная и максимальная мощность генерирующего оборудования ТЭС, отобранного по результатам ВСВГО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,</w:t>
            </w:r>
          </w:p>
          <w:p w:rsidR="003639D1" w:rsidRPr="003639D1" w:rsidRDefault="003639D1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максимальная мощность режимных генераторов,</w:t>
            </w:r>
          </w:p>
          <w:p w:rsidR="003639D1" w:rsidRPr="003639D1" w:rsidRDefault="003639D1" w:rsidP="00F53E4B">
            <w:pPr>
              <w:numPr>
                <w:ilvl w:val="1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максимальная мощность генерирующего оборудования, отобранного в результате процедуры ВСВГО по требованию участника оптового рынка;</w:t>
            </w:r>
          </w:p>
          <w:p w:rsidR="003639D1" w:rsidRPr="003639D1" w:rsidRDefault="003639D1" w:rsidP="00F53E4B">
            <w:pPr>
              <w:numPr>
                <w:ilvl w:val="0"/>
                <w:numId w:val="17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4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количественные по</w:t>
            </w:r>
            <w:r w:rsidR="006F0FBD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часовые показатели включенного и отключенного в результате процедуры ВСВГО генерирующего оборудования (количество ЕГО, изменивших свое состояние в результате ВСВГО) в разрезе </w:t>
            </w:r>
            <w:r w:rsidR="008053AD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второй неценовой зоны 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оптового рынка и региональных энергосистем по группам:</w:t>
            </w:r>
          </w:p>
          <w:p w:rsidR="003639D1" w:rsidRPr="003639D1" w:rsidRDefault="003639D1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генерирующее оборудование, отобранное в результате процедуры ВСВГО,</w:t>
            </w:r>
          </w:p>
          <w:p w:rsidR="003639D1" w:rsidRPr="003639D1" w:rsidRDefault="003639D1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режимные генераторы, </w:t>
            </w:r>
          </w:p>
          <w:p w:rsidR="003639D1" w:rsidRPr="003639D1" w:rsidRDefault="003639D1" w:rsidP="00F53E4B">
            <w:pPr>
              <w:numPr>
                <w:ilvl w:val="0"/>
                <w:numId w:val="19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генерирующее оборудование, отобранное в результате процедуры ВСВГО по требованию участника оптового рынка;</w:t>
            </w: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AF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65F" w:rsidRDefault="0089065F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89065F" w:rsidRDefault="0089065F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</w:p>
          <w:p w:rsidR="003639D1" w:rsidRPr="0060294A" w:rsidRDefault="008B5527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…</w:t>
            </w:r>
          </w:p>
          <w:p w:rsidR="008C3CFE" w:rsidRPr="0046249D" w:rsidRDefault="008C3CFE" w:rsidP="00F53E4B">
            <w:pPr>
              <w:pStyle w:val="4"/>
              <w:numPr>
                <w:ilvl w:val="3"/>
                <w:numId w:val="0"/>
              </w:numPr>
              <w:tabs>
                <w:tab w:val="num" w:pos="180"/>
              </w:tabs>
              <w:spacing w:before="120" w:after="120"/>
              <w:ind w:left="180"/>
              <w:jc w:val="both"/>
              <w:rPr>
                <w:rFonts w:ascii="Garamond" w:eastAsia="Times New Roman" w:hAnsi="Garamond" w:cs="Times New Roman"/>
                <w:bCs w:val="0"/>
                <w:sz w:val="22"/>
                <w:szCs w:val="22"/>
              </w:rPr>
            </w:pPr>
            <w:r w:rsidRPr="0046249D">
              <w:rPr>
                <w:rFonts w:ascii="Garamond" w:eastAsia="Times New Roman" w:hAnsi="Garamond" w:cs="Times New Roman"/>
                <w:bCs w:val="0"/>
                <w:sz w:val="22"/>
                <w:szCs w:val="22"/>
              </w:rPr>
              <w:t>На персональных страницах участников оптового рынка:</w:t>
            </w:r>
          </w:p>
          <w:p w:rsidR="003639D1" w:rsidRPr="00EE6555" w:rsidRDefault="00890AF5" w:rsidP="00F53E4B">
            <w:pPr>
              <w:spacing w:before="120" w:after="120"/>
              <w:jc w:val="both"/>
              <w:outlineLvl w:val="3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…</w:t>
            </w:r>
          </w:p>
          <w:p w:rsidR="003639D1" w:rsidRPr="003639D1" w:rsidRDefault="003639D1" w:rsidP="00F53E4B">
            <w:pPr>
              <w:numPr>
                <w:ilvl w:val="0"/>
                <w:numId w:val="25"/>
              </w:numPr>
              <w:spacing w:before="120" w:after="120"/>
              <w:ind w:left="1735" w:hanging="284"/>
              <w:jc w:val="both"/>
              <w:outlineLvl w:val="3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соотношение поданных участником оптового рынка и использованных СО при проведении процедуры ВСВГО ограничений на максимальное количество </w:t>
            </w:r>
            <w:r w:rsidRPr="003639D1">
              <w:rPr>
                <w:rFonts w:ascii="Garamond" w:hAnsi="Garamond"/>
                <w:sz w:val="22"/>
                <w:szCs w:val="22"/>
                <w:lang w:eastAsia="en-US"/>
              </w:rPr>
              <w:t xml:space="preserve">включений/отключений 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ЕГО за период расчета ВСВГО;</w:t>
            </w:r>
          </w:p>
          <w:p w:rsidR="003639D1" w:rsidRDefault="003639D1" w:rsidP="00F53E4B">
            <w:pPr>
              <w:numPr>
                <w:ilvl w:val="0"/>
                <w:numId w:val="26"/>
              </w:num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по</w:t>
            </w:r>
            <w:r w:rsidR="007720CA">
              <w:rPr>
                <w:rFonts w:ascii="Garamond" w:hAnsi="Garamond"/>
                <w:color w:val="000000"/>
                <w:sz w:val="22"/>
                <w:szCs w:val="22"/>
              </w:rPr>
              <w:t>лу</w:t>
            </w:r>
            <w:r w:rsidRPr="003639D1">
              <w:rPr>
                <w:rFonts w:ascii="Garamond" w:hAnsi="Garamond"/>
                <w:color w:val="000000"/>
                <w:sz w:val="22"/>
                <w:szCs w:val="22"/>
              </w:rPr>
              <w:t>часовые значения активной мощности по РГЕ/ГТП в отношении периода ВСВГО;</w:t>
            </w:r>
          </w:p>
          <w:p w:rsidR="00890AF5" w:rsidRPr="003639D1" w:rsidRDefault="00890AF5" w:rsidP="00F53E4B">
            <w:pPr>
              <w:spacing w:before="120" w:after="120"/>
              <w:contextualSpacing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1A6762" w:rsidRPr="008C3CFE" w:rsidRDefault="001A6762" w:rsidP="00F53E4B">
            <w:pPr>
              <w:spacing w:before="120" w:after="120"/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:rsidR="00376579" w:rsidRDefault="00376579" w:rsidP="005E3F4C">
      <w:pPr>
        <w:ind w:right="110"/>
        <w:jc w:val="both"/>
        <w:rPr>
          <w:rFonts w:ascii="Garamond" w:hAnsi="Garamond"/>
          <w:b/>
          <w:sz w:val="26"/>
          <w:szCs w:val="26"/>
        </w:rPr>
      </w:pPr>
    </w:p>
    <w:sectPr w:rsidR="00376579" w:rsidSect="00A674F5">
      <w:headerReference w:type="default" r:id="rId8"/>
      <w:footerReference w:type="default" r:id="rId9"/>
      <w:footerReference w:type="first" r:id="rId10"/>
      <w:pgSz w:w="16838" w:h="11906" w:orient="landscape" w:code="9"/>
      <w:pgMar w:top="1135" w:right="567" w:bottom="680" w:left="1304" w:header="284" w:footer="284" w:gutter="113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530" w:rsidRDefault="00970530">
      <w:r>
        <w:separator/>
      </w:r>
    </w:p>
  </w:endnote>
  <w:endnote w:type="continuationSeparator" w:id="0">
    <w:p w:rsidR="00970530" w:rsidRDefault="0097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65F" w:rsidRPr="0089065F" w:rsidRDefault="0089065F" w:rsidP="0089065F">
    <w:pPr>
      <w:jc w:val="both"/>
      <w:rPr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65F" w:rsidRPr="0089065F" w:rsidRDefault="0089065F" w:rsidP="0089065F">
    <w:pPr>
      <w:jc w:val="both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530" w:rsidRDefault="00970530">
      <w:r>
        <w:separator/>
      </w:r>
    </w:p>
  </w:footnote>
  <w:footnote w:type="continuationSeparator" w:id="0">
    <w:p w:rsidR="00970530" w:rsidRDefault="00970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95640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0269FF" w:rsidRPr="003C44B4" w:rsidRDefault="000269FF" w:rsidP="00E724E4">
        <w:pPr>
          <w:pStyle w:val="a9"/>
          <w:jc w:val="center"/>
          <w:rPr>
            <w:sz w:val="24"/>
          </w:rPr>
        </w:pPr>
        <w:r w:rsidRPr="003C44B4">
          <w:rPr>
            <w:sz w:val="24"/>
          </w:rPr>
          <w:fldChar w:fldCharType="begin"/>
        </w:r>
        <w:r w:rsidRPr="003C44B4">
          <w:rPr>
            <w:sz w:val="24"/>
          </w:rPr>
          <w:instrText>PAGE   \* MERGEFORMAT</w:instrText>
        </w:r>
        <w:r w:rsidRPr="003C44B4">
          <w:rPr>
            <w:sz w:val="24"/>
          </w:rPr>
          <w:fldChar w:fldCharType="separate"/>
        </w:r>
        <w:r w:rsidR="0046249D">
          <w:rPr>
            <w:noProof/>
            <w:sz w:val="24"/>
          </w:rPr>
          <w:t>4</w:t>
        </w:r>
        <w:r w:rsidRPr="003C44B4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422AC64"/>
    <w:lvl w:ilvl="0">
      <w:start w:val="4"/>
      <w:numFmt w:val="none"/>
      <w:pStyle w:val="2"/>
      <w:suff w:val="nothing"/>
      <w:lvlText w:val=""/>
      <w:lvlJc w:val="left"/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2">
      <w:start w:val="4"/>
      <w:numFmt w:val="decimal"/>
      <w:lvlText w:val="4.%3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3.2.%4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0B3815E3"/>
    <w:multiLevelType w:val="hybridMultilevel"/>
    <w:tmpl w:val="AB22C60C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136312"/>
    <w:multiLevelType w:val="hybridMultilevel"/>
    <w:tmpl w:val="DD245CA6"/>
    <w:lvl w:ilvl="0" w:tplc="FFFFFFFF">
      <w:start w:val="1"/>
      <w:numFmt w:val="bullet"/>
      <w:pStyle w:val="a"/>
      <w:lvlText w:val=""/>
      <w:lvlJc w:val="left"/>
      <w:pPr>
        <w:tabs>
          <w:tab w:val="num" w:pos="1552"/>
        </w:tabs>
        <w:ind w:left="1203" w:hanging="11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12"/>
        </w:tabs>
        <w:ind w:left="19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32"/>
        </w:tabs>
        <w:ind w:left="26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52"/>
        </w:tabs>
        <w:ind w:left="33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72"/>
        </w:tabs>
        <w:ind w:left="40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92"/>
        </w:tabs>
        <w:ind w:left="47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12"/>
        </w:tabs>
        <w:ind w:left="55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32"/>
        </w:tabs>
        <w:ind w:left="62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52"/>
        </w:tabs>
        <w:ind w:left="6952" w:hanging="360"/>
      </w:pPr>
      <w:rPr>
        <w:rFonts w:ascii="Wingdings" w:hAnsi="Wingdings" w:hint="default"/>
      </w:rPr>
    </w:lvl>
  </w:abstractNum>
  <w:abstractNum w:abstractNumId="3" w15:restartNumberingAfterBreak="0">
    <w:nsid w:val="1356087F"/>
    <w:multiLevelType w:val="hybridMultilevel"/>
    <w:tmpl w:val="5BA8AC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65602"/>
    <w:multiLevelType w:val="hybridMultilevel"/>
    <w:tmpl w:val="9A484F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8F65D7F"/>
    <w:multiLevelType w:val="hybridMultilevel"/>
    <w:tmpl w:val="15666398"/>
    <w:lvl w:ilvl="0" w:tplc="EDC41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B67670"/>
    <w:multiLevelType w:val="hybridMultilevel"/>
    <w:tmpl w:val="0D4A2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D6FC3"/>
    <w:multiLevelType w:val="hybridMultilevel"/>
    <w:tmpl w:val="D0281404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 w15:restartNumberingAfterBreak="0">
    <w:nsid w:val="212240EA"/>
    <w:multiLevelType w:val="hybridMultilevel"/>
    <w:tmpl w:val="10864F76"/>
    <w:lvl w:ilvl="0" w:tplc="9E42C8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4F335DB"/>
    <w:multiLevelType w:val="hybridMultilevel"/>
    <w:tmpl w:val="062E5038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7EA782F"/>
    <w:multiLevelType w:val="hybridMultilevel"/>
    <w:tmpl w:val="D1647FE0"/>
    <w:lvl w:ilvl="0" w:tplc="9E42C884">
      <w:start w:val="1"/>
      <w:numFmt w:val="bullet"/>
      <w:lvlText w:val=""/>
      <w:lvlJc w:val="left"/>
      <w:pPr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1" w15:restartNumberingAfterBreak="0">
    <w:nsid w:val="3CA374C4"/>
    <w:multiLevelType w:val="hybridMultilevel"/>
    <w:tmpl w:val="B2421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64FEE"/>
    <w:multiLevelType w:val="hybridMultilevel"/>
    <w:tmpl w:val="2788165E"/>
    <w:lvl w:ilvl="0" w:tplc="27F40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1268A1"/>
    <w:multiLevelType w:val="hybridMultilevel"/>
    <w:tmpl w:val="5952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962CD"/>
    <w:multiLevelType w:val="hybridMultilevel"/>
    <w:tmpl w:val="E5A69968"/>
    <w:lvl w:ilvl="0" w:tplc="01987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9643AF6"/>
    <w:multiLevelType w:val="hybridMultilevel"/>
    <w:tmpl w:val="6E505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C482358"/>
    <w:multiLevelType w:val="hybridMultilevel"/>
    <w:tmpl w:val="AA981562"/>
    <w:lvl w:ilvl="0" w:tplc="FFFFFFFF">
      <w:start w:val="2"/>
      <w:numFmt w:val="bullet"/>
      <w:lvlText w:val="-"/>
      <w:lvlJc w:val="left"/>
      <w:pPr>
        <w:ind w:left="2455" w:hanging="360"/>
      </w:pPr>
      <w:rPr>
        <w:rFonts w:ascii="Times New Roman" w:eastAsia="Times New Roman" w:hAnsi="Times New Roman" w:hint="default"/>
      </w:rPr>
    </w:lvl>
    <w:lvl w:ilvl="1" w:tplc="3FC039F8">
      <w:start w:val="1"/>
      <w:numFmt w:val="bullet"/>
      <w:lvlText w:val="−"/>
      <w:lvlJc w:val="left"/>
      <w:pPr>
        <w:ind w:left="3175" w:hanging="360"/>
      </w:pPr>
      <w:rPr>
        <w:rFonts w:ascii="Garamond" w:hAnsi="Garamond" w:hint="default"/>
      </w:rPr>
    </w:lvl>
    <w:lvl w:ilvl="2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15" w:hanging="360"/>
      </w:pPr>
      <w:rPr>
        <w:rFonts w:ascii="Wingdings" w:hAnsi="Wingdings" w:hint="default"/>
      </w:rPr>
    </w:lvl>
  </w:abstractNum>
  <w:abstractNum w:abstractNumId="17" w15:restartNumberingAfterBreak="0">
    <w:nsid w:val="50C6021F"/>
    <w:multiLevelType w:val="hybridMultilevel"/>
    <w:tmpl w:val="4A26F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160CD"/>
    <w:multiLevelType w:val="hybridMultilevel"/>
    <w:tmpl w:val="02A83B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E4309A"/>
    <w:multiLevelType w:val="hybridMultilevel"/>
    <w:tmpl w:val="C994E080"/>
    <w:lvl w:ilvl="0" w:tplc="04090003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20" w15:restartNumberingAfterBreak="0">
    <w:nsid w:val="538969F0"/>
    <w:multiLevelType w:val="hybridMultilevel"/>
    <w:tmpl w:val="E1DE7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34CBA"/>
    <w:multiLevelType w:val="hybridMultilevel"/>
    <w:tmpl w:val="6D3AB73E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 w15:restartNumberingAfterBreak="0">
    <w:nsid w:val="622B686A"/>
    <w:multiLevelType w:val="hybridMultilevel"/>
    <w:tmpl w:val="8056E522"/>
    <w:lvl w:ilvl="0" w:tplc="041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812AD"/>
    <w:multiLevelType w:val="hybridMultilevel"/>
    <w:tmpl w:val="DD0C9050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EF87A76"/>
    <w:multiLevelType w:val="hybridMultilevel"/>
    <w:tmpl w:val="B9A2F454"/>
    <w:lvl w:ilvl="0" w:tplc="041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5" w15:restartNumberingAfterBreak="0">
    <w:nsid w:val="73A24F81"/>
    <w:multiLevelType w:val="hybridMultilevel"/>
    <w:tmpl w:val="81263770"/>
    <w:lvl w:ilvl="0" w:tplc="3DB01B50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26" w15:restartNumberingAfterBreak="0">
    <w:nsid w:val="7453582D"/>
    <w:multiLevelType w:val="hybridMultilevel"/>
    <w:tmpl w:val="1CBA60C4"/>
    <w:lvl w:ilvl="0" w:tplc="6A06DFCA">
      <w:start w:val="1"/>
      <w:numFmt w:val="bullet"/>
      <w:lvlText w:val="-"/>
      <w:lvlJc w:val="left"/>
      <w:pPr>
        <w:tabs>
          <w:tab w:val="num" w:pos="2940"/>
        </w:tabs>
        <w:ind w:left="2864" w:hanging="284"/>
      </w:pPr>
      <w:rPr>
        <w:rFonts w:ascii="Times New Roman" w:hAnsi="Times New Roman" w:hint="default"/>
      </w:rPr>
    </w:lvl>
    <w:lvl w:ilvl="1" w:tplc="D85E0700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6ECF2D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AEB251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4F5CFBD8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326CC17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65BAF7E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5A248254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6206E51C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4820105"/>
    <w:multiLevelType w:val="hybridMultilevel"/>
    <w:tmpl w:val="A288CD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5EA6C06"/>
    <w:multiLevelType w:val="hybridMultilevel"/>
    <w:tmpl w:val="803E2DA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9" w15:restartNumberingAfterBreak="0">
    <w:nsid w:val="782449B3"/>
    <w:multiLevelType w:val="hybridMultilevel"/>
    <w:tmpl w:val="E0C6A8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8"/>
  </w:num>
  <w:num w:numId="4">
    <w:abstractNumId w:val="11"/>
  </w:num>
  <w:num w:numId="5">
    <w:abstractNumId w:val="9"/>
  </w:num>
  <w:num w:numId="6">
    <w:abstractNumId w:val="26"/>
  </w:num>
  <w:num w:numId="7">
    <w:abstractNumId w:val="2"/>
  </w:num>
  <w:num w:numId="8">
    <w:abstractNumId w:val="14"/>
  </w:num>
  <w:num w:numId="9">
    <w:abstractNumId w:val="27"/>
  </w:num>
  <w:num w:numId="10">
    <w:abstractNumId w:val="13"/>
  </w:num>
  <w:num w:numId="11">
    <w:abstractNumId w:val="17"/>
  </w:num>
  <w:num w:numId="12">
    <w:abstractNumId w:val="8"/>
  </w:num>
  <w:num w:numId="13">
    <w:abstractNumId w:val="15"/>
  </w:num>
  <w:num w:numId="14">
    <w:abstractNumId w:val="12"/>
  </w:num>
  <w:num w:numId="15">
    <w:abstractNumId w:val="6"/>
  </w:num>
  <w:num w:numId="16">
    <w:abstractNumId w:val="4"/>
  </w:num>
  <w:num w:numId="17">
    <w:abstractNumId w:val="18"/>
  </w:num>
  <w:num w:numId="18">
    <w:abstractNumId w:val="21"/>
  </w:num>
  <w:num w:numId="19">
    <w:abstractNumId w:val="23"/>
  </w:num>
  <w:num w:numId="20">
    <w:abstractNumId w:val="20"/>
  </w:num>
  <w:num w:numId="21">
    <w:abstractNumId w:val="10"/>
  </w:num>
  <w:num w:numId="22">
    <w:abstractNumId w:val="19"/>
  </w:num>
  <w:num w:numId="23">
    <w:abstractNumId w:val="24"/>
  </w:num>
  <w:num w:numId="24">
    <w:abstractNumId w:val="16"/>
  </w:num>
  <w:num w:numId="25">
    <w:abstractNumId w:val="29"/>
  </w:num>
  <w:num w:numId="26">
    <w:abstractNumId w:val="22"/>
  </w:num>
  <w:num w:numId="27">
    <w:abstractNumId w:val="25"/>
  </w:num>
  <w:num w:numId="28">
    <w:abstractNumId w:val="1"/>
  </w:num>
  <w:num w:numId="29">
    <w:abstractNumId w:val="3"/>
  </w:num>
  <w:num w:numId="3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51"/>
    <w:rsid w:val="000020FE"/>
    <w:rsid w:val="0002355E"/>
    <w:rsid w:val="000236B5"/>
    <w:rsid w:val="00026749"/>
    <w:rsid w:val="000269FF"/>
    <w:rsid w:val="00033565"/>
    <w:rsid w:val="000341F6"/>
    <w:rsid w:val="000352E9"/>
    <w:rsid w:val="00035B2E"/>
    <w:rsid w:val="000378D7"/>
    <w:rsid w:val="00040561"/>
    <w:rsid w:val="00043D06"/>
    <w:rsid w:val="0004743E"/>
    <w:rsid w:val="000475A7"/>
    <w:rsid w:val="00052647"/>
    <w:rsid w:val="00052EC6"/>
    <w:rsid w:val="00061B8F"/>
    <w:rsid w:val="000643BB"/>
    <w:rsid w:val="00070DAF"/>
    <w:rsid w:val="00071326"/>
    <w:rsid w:val="000731BC"/>
    <w:rsid w:val="00076E5F"/>
    <w:rsid w:val="00077082"/>
    <w:rsid w:val="0008259F"/>
    <w:rsid w:val="00086F06"/>
    <w:rsid w:val="00087985"/>
    <w:rsid w:val="00091B59"/>
    <w:rsid w:val="00093E48"/>
    <w:rsid w:val="00093EBE"/>
    <w:rsid w:val="00096788"/>
    <w:rsid w:val="000B1375"/>
    <w:rsid w:val="000B348C"/>
    <w:rsid w:val="000B6E04"/>
    <w:rsid w:val="000C2026"/>
    <w:rsid w:val="000C2B75"/>
    <w:rsid w:val="000C2FD7"/>
    <w:rsid w:val="000C7D60"/>
    <w:rsid w:val="000D2FC1"/>
    <w:rsid w:val="000D3A4F"/>
    <w:rsid w:val="000D5259"/>
    <w:rsid w:val="000D6E8C"/>
    <w:rsid w:val="000D7B72"/>
    <w:rsid w:val="000E2539"/>
    <w:rsid w:val="000E4245"/>
    <w:rsid w:val="000E4786"/>
    <w:rsid w:val="000E57A0"/>
    <w:rsid w:val="000E57CD"/>
    <w:rsid w:val="000F436A"/>
    <w:rsid w:val="0010626E"/>
    <w:rsid w:val="001067AE"/>
    <w:rsid w:val="00107966"/>
    <w:rsid w:val="001148FC"/>
    <w:rsid w:val="001151AA"/>
    <w:rsid w:val="00120BE5"/>
    <w:rsid w:val="00121F5B"/>
    <w:rsid w:val="001365CE"/>
    <w:rsid w:val="001542CD"/>
    <w:rsid w:val="001570BE"/>
    <w:rsid w:val="00163FF2"/>
    <w:rsid w:val="00164B3B"/>
    <w:rsid w:val="00165011"/>
    <w:rsid w:val="00175100"/>
    <w:rsid w:val="00175505"/>
    <w:rsid w:val="001908BC"/>
    <w:rsid w:val="0019308F"/>
    <w:rsid w:val="00193649"/>
    <w:rsid w:val="00194931"/>
    <w:rsid w:val="001A6762"/>
    <w:rsid w:val="001A70EE"/>
    <w:rsid w:val="001B0485"/>
    <w:rsid w:val="001B143C"/>
    <w:rsid w:val="001B4542"/>
    <w:rsid w:val="001B5F39"/>
    <w:rsid w:val="001C02C3"/>
    <w:rsid w:val="001C3D53"/>
    <w:rsid w:val="001C78F1"/>
    <w:rsid w:val="001E0EEB"/>
    <w:rsid w:val="001E2553"/>
    <w:rsid w:val="001F1C1E"/>
    <w:rsid w:val="00206FB4"/>
    <w:rsid w:val="00211E70"/>
    <w:rsid w:val="00216A07"/>
    <w:rsid w:val="002205A5"/>
    <w:rsid w:val="00222A9F"/>
    <w:rsid w:val="00222F36"/>
    <w:rsid w:val="00224570"/>
    <w:rsid w:val="002404BD"/>
    <w:rsid w:val="00252415"/>
    <w:rsid w:val="00260857"/>
    <w:rsid w:val="00260B73"/>
    <w:rsid w:val="002700C8"/>
    <w:rsid w:val="00270334"/>
    <w:rsid w:val="00271725"/>
    <w:rsid w:val="002738AA"/>
    <w:rsid w:val="00275899"/>
    <w:rsid w:val="0027698E"/>
    <w:rsid w:val="00286E0D"/>
    <w:rsid w:val="00296C31"/>
    <w:rsid w:val="00297CAE"/>
    <w:rsid w:val="002A19D6"/>
    <w:rsid w:val="002A1AA2"/>
    <w:rsid w:val="002A3D9F"/>
    <w:rsid w:val="002B37B3"/>
    <w:rsid w:val="002B4EF4"/>
    <w:rsid w:val="002B7CEE"/>
    <w:rsid w:val="002C2FA8"/>
    <w:rsid w:val="002C36BA"/>
    <w:rsid w:val="002C5A3E"/>
    <w:rsid w:val="002D450A"/>
    <w:rsid w:val="002D6807"/>
    <w:rsid w:val="002E2935"/>
    <w:rsid w:val="002E2A37"/>
    <w:rsid w:val="002E599E"/>
    <w:rsid w:val="002F076F"/>
    <w:rsid w:val="002F0E71"/>
    <w:rsid w:val="002F4FD3"/>
    <w:rsid w:val="002F663A"/>
    <w:rsid w:val="002F7A0D"/>
    <w:rsid w:val="003008A5"/>
    <w:rsid w:val="00302F00"/>
    <w:rsid w:val="003060B5"/>
    <w:rsid w:val="00310F41"/>
    <w:rsid w:val="00313DF1"/>
    <w:rsid w:val="003141FB"/>
    <w:rsid w:val="003151EA"/>
    <w:rsid w:val="00316DB7"/>
    <w:rsid w:val="00317F7B"/>
    <w:rsid w:val="003228C2"/>
    <w:rsid w:val="00326F8B"/>
    <w:rsid w:val="0033398C"/>
    <w:rsid w:val="00340D25"/>
    <w:rsid w:val="00345028"/>
    <w:rsid w:val="00346DA5"/>
    <w:rsid w:val="00352CC9"/>
    <w:rsid w:val="00360E34"/>
    <w:rsid w:val="00362A25"/>
    <w:rsid w:val="00362E76"/>
    <w:rsid w:val="003639D1"/>
    <w:rsid w:val="00363C75"/>
    <w:rsid w:val="003666DC"/>
    <w:rsid w:val="0037269D"/>
    <w:rsid w:val="00372A25"/>
    <w:rsid w:val="00373607"/>
    <w:rsid w:val="00374D1F"/>
    <w:rsid w:val="00376579"/>
    <w:rsid w:val="00377158"/>
    <w:rsid w:val="00381DF0"/>
    <w:rsid w:val="00384451"/>
    <w:rsid w:val="00397A88"/>
    <w:rsid w:val="003A0596"/>
    <w:rsid w:val="003A354E"/>
    <w:rsid w:val="003A3BE6"/>
    <w:rsid w:val="003A458A"/>
    <w:rsid w:val="003A7F99"/>
    <w:rsid w:val="003C44B4"/>
    <w:rsid w:val="003C55B2"/>
    <w:rsid w:val="003D1006"/>
    <w:rsid w:val="003D3861"/>
    <w:rsid w:val="003D3DEA"/>
    <w:rsid w:val="003D6650"/>
    <w:rsid w:val="003D6A8C"/>
    <w:rsid w:val="003D73B6"/>
    <w:rsid w:val="003D78C8"/>
    <w:rsid w:val="003E1554"/>
    <w:rsid w:val="003E3208"/>
    <w:rsid w:val="003E7586"/>
    <w:rsid w:val="003F72EA"/>
    <w:rsid w:val="00402823"/>
    <w:rsid w:val="004061FF"/>
    <w:rsid w:val="00412679"/>
    <w:rsid w:val="00415A08"/>
    <w:rsid w:val="0042559B"/>
    <w:rsid w:val="004314D4"/>
    <w:rsid w:val="00433DA4"/>
    <w:rsid w:val="0043654B"/>
    <w:rsid w:val="00437A4B"/>
    <w:rsid w:val="00446DC3"/>
    <w:rsid w:val="00447F3B"/>
    <w:rsid w:val="0046249D"/>
    <w:rsid w:val="0046364A"/>
    <w:rsid w:val="00465ED0"/>
    <w:rsid w:val="00477730"/>
    <w:rsid w:val="00480F8B"/>
    <w:rsid w:val="004856E5"/>
    <w:rsid w:val="0049505D"/>
    <w:rsid w:val="004A05BF"/>
    <w:rsid w:val="004A0F80"/>
    <w:rsid w:val="004A5D0D"/>
    <w:rsid w:val="004B4DA2"/>
    <w:rsid w:val="004C04BD"/>
    <w:rsid w:val="004C6EB0"/>
    <w:rsid w:val="004D3DAE"/>
    <w:rsid w:val="004D3EDE"/>
    <w:rsid w:val="004E06CE"/>
    <w:rsid w:val="004E0EDC"/>
    <w:rsid w:val="004E260D"/>
    <w:rsid w:val="004E40FE"/>
    <w:rsid w:val="004E43CE"/>
    <w:rsid w:val="004E6276"/>
    <w:rsid w:val="004F6D97"/>
    <w:rsid w:val="00502297"/>
    <w:rsid w:val="00503075"/>
    <w:rsid w:val="005047A4"/>
    <w:rsid w:val="00506B18"/>
    <w:rsid w:val="00520F8D"/>
    <w:rsid w:val="005240A2"/>
    <w:rsid w:val="00525A7D"/>
    <w:rsid w:val="00525BAF"/>
    <w:rsid w:val="00527577"/>
    <w:rsid w:val="00530CBB"/>
    <w:rsid w:val="00531A19"/>
    <w:rsid w:val="005321CE"/>
    <w:rsid w:val="005364C0"/>
    <w:rsid w:val="00537111"/>
    <w:rsid w:val="00542E5C"/>
    <w:rsid w:val="005447D0"/>
    <w:rsid w:val="005461A1"/>
    <w:rsid w:val="00554F3B"/>
    <w:rsid w:val="00555FA7"/>
    <w:rsid w:val="00556A71"/>
    <w:rsid w:val="0056074C"/>
    <w:rsid w:val="00561F78"/>
    <w:rsid w:val="00562B7B"/>
    <w:rsid w:val="00564B31"/>
    <w:rsid w:val="00570439"/>
    <w:rsid w:val="005711C4"/>
    <w:rsid w:val="00573FBC"/>
    <w:rsid w:val="005767E1"/>
    <w:rsid w:val="0058472E"/>
    <w:rsid w:val="005859C7"/>
    <w:rsid w:val="005867FB"/>
    <w:rsid w:val="00587DC2"/>
    <w:rsid w:val="00592438"/>
    <w:rsid w:val="00595CB1"/>
    <w:rsid w:val="00597C8C"/>
    <w:rsid w:val="005A1BA3"/>
    <w:rsid w:val="005A22CC"/>
    <w:rsid w:val="005A496E"/>
    <w:rsid w:val="005A7E35"/>
    <w:rsid w:val="005B355E"/>
    <w:rsid w:val="005B6A58"/>
    <w:rsid w:val="005C44AE"/>
    <w:rsid w:val="005C7503"/>
    <w:rsid w:val="005C7904"/>
    <w:rsid w:val="005D1B97"/>
    <w:rsid w:val="005D2751"/>
    <w:rsid w:val="005D6B9F"/>
    <w:rsid w:val="005E0CFD"/>
    <w:rsid w:val="005E179C"/>
    <w:rsid w:val="005E3F4C"/>
    <w:rsid w:val="005E4A79"/>
    <w:rsid w:val="005F28B3"/>
    <w:rsid w:val="00600524"/>
    <w:rsid w:val="00601567"/>
    <w:rsid w:val="0060287E"/>
    <w:rsid w:val="0060294A"/>
    <w:rsid w:val="00603C86"/>
    <w:rsid w:val="006100D1"/>
    <w:rsid w:val="00612104"/>
    <w:rsid w:val="006178B8"/>
    <w:rsid w:val="00620C3A"/>
    <w:rsid w:val="006225E0"/>
    <w:rsid w:val="00625103"/>
    <w:rsid w:val="00625D44"/>
    <w:rsid w:val="00626AD8"/>
    <w:rsid w:val="00640EEB"/>
    <w:rsid w:val="006468E4"/>
    <w:rsid w:val="00646AB7"/>
    <w:rsid w:val="00667B78"/>
    <w:rsid w:val="006809B4"/>
    <w:rsid w:val="00681A4F"/>
    <w:rsid w:val="00686BDA"/>
    <w:rsid w:val="00692603"/>
    <w:rsid w:val="00694678"/>
    <w:rsid w:val="006959BF"/>
    <w:rsid w:val="006A157C"/>
    <w:rsid w:val="006A1C86"/>
    <w:rsid w:val="006A215E"/>
    <w:rsid w:val="006A4008"/>
    <w:rsid w:val="006A58B3"/>
    <w:rsid w:val="006A59A7"/>
    <w:rsid w:val="006A5CF1"/>
    <w:rsid w:val="006A79EB"/>
    <w:rsid w:val="006B1874"/>
    <w:rsid w:val="006B271A"/>
    <w:rsid w:val="006B727D"/>
    <w:rsid w:val="006B7AA6"/>
    <w:rsid w:val="006C1933"/>
    <w:rsid w:val="006C2BF2"/>
    <w:rsid w:val="006C360C"/>
    <w:rsid w:val="006C4057"/>
    <w:rsid w:val="006C5099"/>
    <w:rsid w:val="006C5FB5"/>
    <w:rsid w:val="006D2628"/>
    <w:rsid w:val="006D45F9"/>
    <w:rsid w:val="006D6923"/>
    <w:rsid w:val="006E535F"/>
    <w:rsid w:val="006F0FBD"/>
    <w:rsid w:val="006F20A6"/>
    <w:rsid w:val="00711D02"/>
    <w:rsid w:val="00717CA0"/>
    <w:rsid w:val="00720A70"/>
    <w:rsid w:val="007219BD"/>
    <w:rsid w:val="007248A0"/>
    <w:rsid w:val="00733630"/>
    <w:rsid w:val="00737F69"/>
    <w:rsid w:val="00745085"/>
    <w:rsid w:val="00745C47"/>
    <w:rsid w:val="007465E6"/>
    <w:rsid w:val="00750009"/>
    <w:rsid w:val="0075088B"/>
    <w:rsid w:val="00757990"/>
    <w:rsid w:val="007600D4"/>
    <w:rsid w:val="0076432C"/>
    <w:rsid w:val="007646F6"/>
    <w:rsid w:val="007720CA"/>
    <w:rsid w:val="00772F42"/>
    <w:rsid w:val="0077430D"/>
    <w:rsid w:val="007910BA"/>
    <w:rsid w:val="007935B3"/>
    <w:rsid w:val="0079427A"/>
    <w:rsid w:val="0079436F"/>
    <w:rsid w:val="007A30FA"/>
    <w:rsid w:val="007A4DEA"/>
    <w:rsid w:val="007C0026"/>
    <w:rsid w:val="007C340D"/>
    <w:rsid w:val="007C5367"/>
    <w:rsid w:val="007C7844"/>
    <w:rsid w:val="007E19B2"/>
    <w:rsid w:val="007E235D"/>
    <w:rsid w:val="007E236B"/>
    <w:rsid w:val="007E685D"/>
    <w:rsid w:val="007E7690"/>
    <w:rsid w:val="007F2BDC"/>
    <w:rsid w:val="00802295"/>
    <w:rsid w:val="00803B16"/>
    <w:rsid w:val="008053AD"/>
    <w:rsid w:val="00807A02"/>
    <w:rsid w:val="00810F6C"/>
    <w:rsid w:val="00812ADB"/>
    <w:rsid w:val="008150BA"/>
    <w:rsid w:val="008167FD"/>
    <w:rsid w:val="008169A2"/>
    <w:rsid w:val="0081747A"/>
    <w:rsid w:val="008206F0"/>
    <w:rsid w:val="008257CF"/>
    <w:rsid w:val="008307B5"/>
    <w:rsid w:val="00831C5B"/>
    <w:rsid w:val="008320AF"/>
    <w:rsid w:val="00833735"/>
    <w:rsid w:val="00840D00"/>
    <w:rsid w:val="00853B43"/>
    <w:rsid w:val="00855569"/>
    <w:rsid w:val="00861AD4"/>
    <w:rsid w:val="00865158"/>
    <w:rsid w:val="0086571A"/>
    <w:rsid w:val="00867FA0"/>
    <w:rsid w:val="008740FC"/>
    <w:rsid w:val="00875E77"/>
    <w:rsid w:val="008803D0"/>
    <w:rsid w:val="00880569"/>
    <w:rsid w:val="008854C3"/>
    <w:rsid w:val="0089065F"/>
    <w:rsid w:val="00890AF5"/>
    <w:rsid w:val="00894E96"/>
    <w:rsid w:val="00896304"/>
    <w:rsid w:val="00896866"/>
    <w:rsid w:val="008A4052"/>
    <w:rsid w:val="008A775D"/>
    <w:rsid w:val="008B0201"/>
    <w:rsid w:val="008B1B0E"/>
    <w:rsid w:val="008B30DB"/>
    <w:rsid w:val="008B5527"/>
    <w:rsid w:val="008B79AB"/>
    <w:rsid w:val="008C17F9"/>
    <w:rsid w:val="008C3CFE"/>
    <w:rsid w:val="008C5FB3"/>
    <w:rsid w:val="008C632A"/>
    <w:rsid w:val="008D1781"/>
    <w:rsid w:val="008D431E"/>
    <w:rsid w:val="008D518D"/>
    <w:rsid w:val="008D740D"/>
    <w:rsid w:val="008E78F2"/>
    <w:rsid w:val="008F00C5"/>
    <w:rsid w:val="008F1EFE"/>
    <w:rsid w:val="008F5341"/>
    <w:rsid w:val="00900BFC"/>
    <w:rsid w:val="009010EA"/>
    <w:rsid w:val="00903AAF"/>
    <w:rsid w:val="009040A7"/>
    <w:rsid w:val="00905EB5"/>
    <w:rsid w:val="009111D3"/>
    <w:rsid w:val="0092054A"/>
    <w:rsid w:val="00926579"/>
    <w:rsid w:val="009332E8"/>
    <w:rsid w:val="009354BB"/>
    <w:rsid w:val="00941547"/>
    <w:rsid w:val="00952310"/>
    <w:rsid w:val="009642E9"/>
    <w:rsid w:val="009656FD"/>
    <w:rsid w:val="00966DE0"/>
    <w:rsid w:val="00970530"/>
    <w:rsid w:val="00973D4D"/>
    <w:rsid w:val="00975123"/>
    <w:rsid w:val="00975AD3"/>
    <w:rsid w:val="00976F9B"/>
    <w:rsid w:val="00977B8D"/>
    <w:rsid w:val="009915C5"/>
    <w:rsid w:val="0099535A"/>
    <w:rsid w:val="009961E2"/>
    <w:rsid w:val="009A3C12"/>
    <w:rsid w:val="009A51EF"/>
    <w:rsid w:val="009A757C"/>
    <w:rsid w:val="009B0C63"/>
    <w:rsid w:val="009B0E23"/>
    <w:rsid w:val="009B6C39"/>
    <w:rsid w:val="009C2C87"/>
    <w:rsid w:val="009C5A06"/>
    <w:rsid w:val="009C6097"/>
    <w:rsid w:val="009C7316"/>
    <w:rsid w:val="009D203E"/>
    <w:rsid w:val="009D34A7"/>
    <w:rsid w:val="009D41A8"/>
    <w:rsid w:val="009D485E"/>
    <w:rsid w:val="009D7C87"/>
    <w:rsid w:val="009E02F5"/>
    <w:rsid w:val="009E385E"/>
    <w:rsid w:val="009F0090"/>
    <w:rsid w:val="009F08C0"/>
    <w:rsid w:val="009F44AC"/>
    <w:rsid w:val="009F5E3D"/>
    <w:rsid w:val="009F6675"/>
    <w:rsid w:val="00A00BB6"/>
    <w:rsid w:val="00A018F3"/>
    <w:rsid w:val="00A118CB"/>
    <w:rsid w:val="00A149EF"/>
    <w:rsid w:val="00A16599"/>
    <w:rsid w:val="00A167E8"/>
    <w:rsid w:val="00A234BB"/>
    <w:rsid w:val="00A3279A"/>
    <w:rsid w:val="00A41121"/>
    <w:rsid w:val="00A41BE8"/>
    <w:rsid w:val="00A41F66"/>
    <w:rsid w:val="00A42194"/>
    <w:rsid w:val="00A425D2"/>
    <w:rsid w:val="00A55967"/>
    <w:rsid w:val="00A6011B"/>
    <w:rsid w:val="00A6085E"/>
    <w:rsid w:val="00A674F5"/>
    <w:rsid w:val="00A71752"/>
    <w:rsid w:val="00A74D0B"/>
    <w:rsid w:val="00A75318"/>
    <w:rsid w:val="00A839C4"/>
    <w:rsid w:val="00A852F2"/>
    <w:rsid w:val="00A86551"/>
    <w:rsid w:val="00A90EBF"/>
    <w:rsid w:val="00A9692D"/>
    <w:rsid w:val="00A97A4D"/>
    <w:rsid w:val="00AA38FF"/>
    <w:rsid w:val="00AB126C"/>
    <w:rsid w:val="00AB3966"/>
    <w:rsid w:val="00AB4B70"/>
    <w:rsid w:val="00AC1693"/>
    <w:rsid w:val="00AC3E3C"/>
    <w:rsid w:val="00AC4116"/>
    <w:rsid w:val="00AC5D6B"/>
    <w:rsid w:val="00AC5FE7"/>
    <w:rsid w:val="00AC74DC"/>
    <w:rsid w:val="00AC7BDA"/>
    <w:rsid w:val="00AD00AE"/>
    <w:rsid w:val="00AD5DA5"/>
    <w:rsid w:val="00AF2111"/>
    <w:rsid w:val="00AF4896"/>
    <w:rsid w:val="00AF6EB7"/>
    <w:rsid w:val="00B073A2"/>
    <w:rsid w:val="00B11378"/>
    <w:rsid w:val="00B1492C"/>
    <w:rsid w:val="00B2151E"/>
    <w:rsid w:val="00B2333F"/>
    <w:rsid w:val="00B242F8"/>
    <w:rsid w:val="00B2548F"/>
    <w:rsid w:val="00B273E7"/>
    <w:rsid w:val="00B30C0D"/>
    <w:rsid w:val="00B3348E"/>
    <w:rsid w:val="00B33D7F"/>
    <w:rsid w:val="00B372E8"/>
    <w:rsid w:val="00B40DFB"/>
    <w:rsid w:val="00B4315A"/>
    <w:rsid w:val="00B45AD2"/>
    <w:rsid w:val="00B47E04"/>
    <w:rsid w:val="00B52C30"/>
    <w:rsid w:val="00B53C79"/>
    <w:rsid w:val="00B565FF"/>
    <w:rsid w:val="00B6259D"/>
    <w:rsid w:val="00B62A88"/>
    <w:rsid w:val="00B75368"/>
    <w:rsid w:val="00B83119"/>
    <w:rsid w:val="00B90EFB"/>
    <w:rsid w:val="00B91262"/>
    <w:rsid w:val="00B932B6"/>
    <w:rsid w:val="00B95099"/>
    <w:rsid w:val="00B959EF"/>
    <w:rsid w:val="00BA13F9"/>
    <w:rsid w:val="00BB088B"/>
    <w:rsid w:val="00BC34C5"/>
    <w:rsid w:val="00BC41DB"/>
    <w:rsid w:val="00BC4320"/>
    <w:rsid w:val="00BC472D"/>
    <w:rsid w:val="00BD3260"/>
    <w:rsid w:val="00BE247D"/>
    <w:rsid w:val="00BE27B4"/>
    <w:rsid w:val="00BE6A0B"/>
    <w:rsid w:val="00BE7219"/>
    <w:rsid w:val="00BF5154"/>
    <w:rsid w:val="00BF6095"/>
    <w:rsid w:val="00C05857"/>
    <w:rsid w:val="00C05B04"/>
    <w:rsid w:val="00C07CE2"/>
    <w:rsid w:val="00C14723"/>
    <w:rsid w:val="00C15CBA"/>
    <w:rsid w:val="00C24144"/>
    <w:rsid w:val="00C245C9"/>
    <w:rsid w:val="00C25469"/>
    <w:rsid w:val="00C32371"/>
    <w:rsid w:val="00C329E7"/>
    <w:rsid w:val="00C33228"/>
    <w:rsid w:val="00C3325A"/>
    <w:rsid w:val="00C33C78"/>
    <w:rsid w:val="00C4438A"/>
    <w:rsid w:val="00C54B17"/>
    <w:rsid w:val="00C56397"/>
    <w:rsid w:val="00C6575B"/>
    <w:rsid w:val="00C66387"/>
    <w:rsid w:val="00C74CD2"/>
    <w:rsid w:val="00C753CB"/>
    <w:rsid w:val="00C76509"/>
    <w:rsid w:val="00C80293"/>
    <w:rsid w:val="00C80BD3"/>
    <w:rsid w:val="00C80DD4"/>
    <w:rsid w:val="00C84ACD"/>
    <w:rsid w:val="00C84E65"/>
    <w:rsid w:val="00C86DA5"/>
    <w:rsid w:val="00C96D33"/>
    <w:rsid w:val="00CA0673"/>
    <w:rsid w:val="00CA3CE6"/>
    <w:rsid w:val="00CA5C08"/>
    <w:rsid w:val="00CB4A9E"/>
    <w:rsid w:val="00CC2EC0"/>
    <w:rsid w:val="00CC3123"/>
    <w:rsid w:val="00CC7A43"/>
    <w:rsid w:val="00CE4638"/>
    <w:rsid w:val="00CF4108"/>
    <w:rsid w:val="00CF57E4"/>
    <w:rsid w:val="00D0242B"/>
    <w:rsid w:val="00D124AD"/>
    <w:rsid w:val="00D13355"/>
    <w:rsid w:val="00D22230"/>
    <w:rsid w:val="00D23C09"/>
    <w:rsid w:val="00D30252"/>
    <w:rsid w:val="00D30421"/>
    <w:rsid w:val="00D34141"/>
    <w:rsid w:val="00D34BFB"/>
    <w:rsid w:val="00D35C8A"/>
    <w:rsid w:val="00D36074"/>
    <w:rsid w:val="00D36232"/>
    <w:rsid w:val="00D42D23"/>
    <w:rsid w:val="00D430CC"/>
    <w:rsid w:val="00D53734"/>
    <w:rsid w:val="00D60B78"/>
    <w:rsid w:val="00D615DC"/>
    <w:rsid w:val="00D62436"/>
    <w:rsid w:val="00D63740"/>
    <w:rsid w:val="00D63FC6"/>
    <w:rsid w:val="00D70B02"/>
    <w:rsid w:val="00D7729A"/>
    <w:rsid w:val="00D8370B"/>
    <w:rsid w:val="00D8562E"/>
    <w:rsid w:val="00D8677D"/>
    <w:rsid w:val="00D905A1"/>
    <w:rsid w:val="00D91B0B"/>
    <w:rsid w:val="00D93D3E"/>
    <w:rsid w:val="00D97438"/>
    <w:rsid w:val="00D97A7A"/>
    <w:rsid w:val="00DA5444"/>
    <w:rsid w:val="00DB06EB"/>
    <w:rsid w:val="00DB20F1"/>
    <w:rsid w:val="00DB3D87"/>
    <w:rsid w:val="00DC3579"/>
    <w:rsid w:val="00DC50C3"/>
    <w:rsid w:val="00DC595C"/>
    <w:rsid w:val="00DC6B98"/>
    <w:rsid w:val="00DD15BF"/>
    <w:rsid w:val="00DE2D43"/>
    <w:rsid w:val="00DE6921"/>
    <w:rsid w:val="00DE7BAB"/>
    <w:rsid w:val="00DE7DF4"/>
    <w:rsid w:val="00DF45C3"/>
    <w:rsid w:val="00DF5C9F"/>
    <w:rsid w:val="00E00633"/>
    <w:rsid w:val="00E00D69"/>
    <w:rsid w:val="00E02F15"/>
    <w:rsid w:val="00E10BFB"/>
    <w:rsid w:val="00E11ED8"/>
    <w:rsid w:val="00E13C9D"/>
    <w:rsid w:val="00E1566C"/>
    <w:rsid w:val="00E1730A"/>
    <w:rsid w:val="00E17EF7"/>
    <w:rsid w:val="00E20036"/>
    <w:rsid w:val="00E25165"/>
    <w:rsid w:val="00E351DF"/>
    <w:rsid w:val="00E366E8"/>
    <w:rsid w:val="00E41156"/>
    <w:rsid w:val="00E45FFA"/>
    <w:rsid w:val="00E505A7"/>
    <w:rsid w:val="00E52DCB"/>
    <w:rsid w:val="00E545EA"/>
    <w:rsid w:val="00E54ED6"/>
    <w:rsid w:val="00E56EC6"/>
    <w:rsid w:val="00E63E6B"/>
    <w:rsid w:val="00E724E4"/>
    <w:rsid w:val="00E74DD2"/>
    <w:rsid w:val="00E77E92"/>
    <w:rsid w:val="00E824A1"/>
    <w:rsid w:val="00E83600"/>
    <w:rsid w:val="00E86BB6"/>
    <w:rsid w:val="00E907FB"/>
    <w:rsid w:val="00E92C45"/>
    <w:rsid w:val="00E96451"/>
    <w:rsid w:val="00EA2DBB"/>
    <w:rsid w:val="00EA3422"/>
    <w:rsid w:val="00EA73B8"/>
    <w:rsid w:val="00EB05A3"/>
    <w:rsid w:val="00EC31BE"/>
    <w:rsid w:val="00EC3B98"/>
    <w:rsid w:val="00ED0F41"/>
    <w:rsid w:val="00ED15C2"/>
    <w:rsid w:val="00ED5132"/>
    <w:rsid w:val="00ED737B"/>
    <w:rsid w:val="00EE1277"/>
    <w:rsid w:val="00EE1EA6"/>
    <w:rsid w:val="00EE48C8"/>
    <w:rsid w:val="00EE4965"/>
    <w:rsid w:val="00EE6555"/>
    <w:rsid w:val="00EE6CA9"/>
    <w:rsid w:val="00EF0DDE"/>
    <w:rsid w:val="00EF2128"/>
    <w:rsid w:val="00F01935"/>
    <w:rsid w:val="00F1466F"/>
    <w:rsid w:val="00F16269"/>
    <w:rsid w:val="00F25C3B"/>
    <w:rsid w:val="00F265D0"/>
    <w:rsid w:val="00F26D24"/>
    <w:rsid w:val="00F32BE4"/>
    <w:rsid w:val="00F34C44"/>
    <w:rsid w:val="00F4082E"/>
    <w:rsid w:val="00F40B71"/>
    <w:rsid w:val="00F41FC0"/>
    <w:rsid w:val="00F44A1F"/>
    <w:rsid w:val="00F53E4B"/>
    <w:rsid w:val="00F63A6F"/>
    <w:rsid w:val="00F72E61"/>
    <w:rsid w:val="00F860C3"/>
    <w:rsid w:val="00F867F1"/>
    <w:rsid w:val="00F871C0"/>
    <w:rsid w:val="00F87899"/>
    <w:rsid w:val="00F87E7B"/>
    <w:rsid w:val="00F91882"/>
    <w:rsid w:val="00FA0F4A"/>
    <w:rsid w:val="00FA1A7B"/>
    <w:rsid w:val="00FB2013"/>
    <w:rsid w:val="00FB3A0C"/>
    <w:rsid w:val="00FB45D1"/>
    <w:rsid w:val="00FB5105"/>
    <w:rsid w:val="00FC2694"/>
    <w:rsid w:val="00FC3E4C"/>
    <w:rsid w:val="00FC48A1"/>
    <w:rsid w:val="00FD02DC"/>
    <w:rsid w:val="00FD0858"/>
    <w:rsid w:val="00FD32F2"/>
    <w:rsid w:val="00FD52E7"/>
    <w:rsid w:val="00FE5CDC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94C305-5340-4B10-B335-8D754A9B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308F"/>
    <w:rPr>
      <w:sz w:val="28"/>
      <w:szCs w:val="24"/>
    </w:rPr>
  </w:style>
  <w:style w:type="paragraph" w:styleId="1">
    <w:name w:val="heading 1"/>
    <w:aliases w:val="Заголовок параграфа (1.),Section,Section Heading,level2 hdg,111"/>
    <w:basedOn w:val="a0"/>
    <w:next w:val="a0"/>
    <w:link w:val="10"/>
    <w:qFormat/>
    <w:locked/>
    <w:rsid w:val="00296C3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h2,h21,Заголовок пункта (1.1),5,Reset numbering,222"/>
    <w:basedOn w:val="a0"/>
    <w:next w:val="a0"/>
    <w:link w:val="21"/>
    <w:qFormat/>
    <w:rsid w:val="0079427A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aliases w:val="H3,Заголовок подпукта (1.1.1),Level 1 - 1"/>
    <w:basedOn w:val="a0"/>
    <w:next w:val="a0"/>
    <w:link w:val="30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0"/>
    <w:next w:val="a0"/>
    <w:link w:val="40"/>
    <w:unhideWhenUsed/>
    <w:qFormat/>
    <w:locked/>
    <w:rsid w:val="00296C3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aliases w:val="h5,h51,H5,H51,h52,test,Block Label,Level 3 - i"/>
    <w:basedOn w:val="a0"/>
    <w:next w:val="a0"/>
    <w:link w:val="50"/>
    <w:unhideWhenUsed/>
    <w:qFormat/>
    <w:locked/>
    <w:rsid w:val="003151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Legal Level 1."/>
    <w:basedOn w:val="a0"/>
    <w:next w:val="5"/>
    <w:link w:val="60"/>
    <w:qFormat/>
    <w:locked/>
    <w:rsid w:val="003151EA"/>
    <w:pPr>
      <w:tabs>
        <w:tab w:val="num" w:pos="0"/>
      </w:tabs>
      <w:spacing w:before="120" w:after="120"/>
      <w:jc w:val="both"/>
      <w:outlineLvl w:val="5"/>
    </w:pPr>
    <w:rPr>
      <w:rFonts w:ascii="Garamond" w:hAnsi="Garamond" w:cs="Garamond"/>
      <w:sz w:val="22"/>
      <w:szCs w:val="22"/>
      <w:lang w:eastAsia="en-US"/>
    </w:rPr>
  </w:style>
  <w:style w:type="paragraph" w:styleId="7">
    <w:name w:val="heading 7"/>
    <w:aliases w:val="Appendix Header,Legal Level 1.1."/>
    <w:basedOn w:val="a0"/>
    <w:next w:val="a0"/>
    <w:link w:val="70"/>
    <w:qFormat/>
    <w:locked/>
    <w:rsid w:val="003151EA"/>
    <w:pPr>
      <w:spacing w:before="180" w:after="240"/>
      <w:outlineLvl w:val="6"/>
    </w:pPr>
    <w:rPr>
      <w:rFonts w:ascii="Garamond" w:hAnsi="Garamond" w:cs="Garamond"/>
      <w:sz w:val="22"/>
      <w:szCs w:val="22"/>
      <w:lang w:val="en-GB" w:eastAsia="en-US"/>
    </w:rPr>
  </w:style>
  <w:style w:type="paragraph" w:styleId="8">
    <w:name w:val="heading 8"/>
    <w:aliases w:val="Legal Level 1.1.1."/>
    <w:basedOn w:val="a0"/>
    <w:next w:val="a0"/>
    <w:link w:val="80"/>
    <w:qFormat/>
    <w:locked/>
    <w:rsid w:val="003151EA"/>
    <w:pPr>
      <w:spacing w:before="240" w:after="60"/>
      <w:outlineLvl w:val="7"/>
    </w:pPr>
    <w:rPr>
      <w:rFonts w:ascii="Arial" w:hAnsi="Arial" w:cs="Arial"/>
      <w:i/>
      <w:iCs/>
      <w:sz w:val="20"/>
      <w:szCs w:val="20"/>
      <w:lang w:val="en-GB" w:eastAsia="en-US"/>
    </w:rPr>
  </w:style>
  <w:style w:type="paragraph" w:styleId="9">
    <w:name w:val="heading 9"/>
    <w:aliases w:val="Legal Level 1.1.1.1."/>
    <w:basedOn w:val="a0"/>
    <w:next w:val="a0"/>
    <w:link w:val="90"/>
    <w:qFormat/>
    <w:locked/>
    <w:rsid w:val="003151EA"/>
    <w:pPr>
      <w:spacing w:before="240" w:after="60"/>
      <w:outlineLvl w:val="8"/>
    </w:pPr>
    <w:rPr>
      <w:rFonts w:ascii="Arial" w:hAnsi="Arial" w:cs="Arial"/>
      <w:i/>
      <w:iCs/>
      <w:sz w:val="18"/>
      <w:szCs w:val="18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aliases w:val="h2 Знак,h21 Знак,Заголовок пункта (1.1) Знак,5 Знак,Reset numbering Знак,222 Знак"/>
    <w:link w:val="20"/>
    <w:uiPriority w:val="99"/>
    <w:semiHidden/>
    <w:locked/>
    <w:rsid w:val="0079427A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aliases w:val="H3 Знак,Заголовок подпукта (1.1.1) Знак,Level 1 - 1 Знак"/>
    <w:link w:val="3"/>
    <w:uiPriority w:val="9"/>
    <w:semiHidden/>
    <w:rsid w:val="00344170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Body Text Indent"/>
    <w:basedOn w:val="a0"/>
    <w:link w:val="a5"/>
    <w:rsid w:val="0019308F"/>
    <w:pPr>
      <w:ind w:firstLine="720"/>
    </w:pPr>
  </w:style>
  <w:style w:type="character" w:customStyle="1" w:styleId="a5">
    <w:name w:val="Основной текст с отступом Знак"/>
    <w:link w:val="a4"/>
    <w:uiPriority w:val="99"/>
    <w:locked/>
    <w:rsid w:val="00BD3260"/>
    <w:rPr>
      <w:rFonts w:cs="Times New Roman"/>
      <w:sz w:val="24"/>
      <w:szCs w:val="24"/>
    </w:rPr>
  </w:style>
  <w:style w:type="paragraph" w:styleId="22">
    <w:name w:val="Body Text Indent 2"/>
    <w:basedOn w:val="a0"/>
    <w:link w:val="23"/>
    <w:uiPriority w:val="99"/>
    <w:rsid w:val="0019308F"/>
    <w:pPr>
      <w:tabs>
        <w:tab w:val="left" w:pos="5260"/>
        <w:tab w:val="left" w:pos="6120"/>
      </w:tabs>
      <w:ind w:left="6120" w:hanging="5940"/>
    </w:pPr>
  </w:style>
  <w:style w:type="character" w:customStyle="1" w:styleId="23">
    <w:name w:val="Основной текст с отступом 2 Знак"/>
    <w:link w:val="22"/>
    <w:uiPriority w:val="99"/>
    <w:semiHidden/>
    <w:rsid w:val="00344170"/>
    <w:rPr>
      <w:sz w:val="28"/>
      <w:szCs w:val="24"/>
    </w:rPr>
  </w:style>
  <w:style w:type="paragraph" w:styleId="31">
    <w:name w:val="Body Text Indent 3"/>
    <w:basedOn w:val="a0"/>
    <w:link w:val="32"/>
    <w:uiPriority w:val="99"/>
    <w:rsid w:val="0019308F"/>
    <w:pPr>
      <w:ind w:left="6120" w:hanging="1164"/>
    </w:pPr>
  </w:style>
  <w:style w:type="character" w:customStyle="1" w:styleId="32">
    <w:name w:val="Основной текст с отступом 3 Знак"/>
    <w:link w:val="31"/>
    <w:uiPriority w:val="99"/>
    <w:semiHidden/>
    <w:rsid w:val="00344170"/>
    <w:rPr>
      <w:sz w:val="16"/>
      <w:szCs w:val="16"/>
    </w:rPr>
  </w:style>
  <w:style w:type="paragraph" w:styleId="a6">
    <w:name w:val="Body Text"/>
    <w:basedOn w:val="a0"/>
    <w:link w:val="a7"/>
    <w:rsid w:val="0019308F"/>
    <w:pPr>
      <w:tabs>
        <w:tab w:val="left" w:pos="660"/>
      </w:tabs>
      <w:jc w:val="both"/>
    </w:pPr>
    <w:rPr>
      <w:sz w:val="27"/>
    </w:rPr>
  </w:style>
  <w:style w:type="character" w:customStyle="1" w:styleId="a7">
    <w:name w:val="Основной текст Знак"/>
    <w:link w:val="a6"/>
    <w:rsid w:val="00344170"/>
    <w:rPr>
      <w:sz w:val="28"/>
      <w:szCs w:val="24"/>
    </w:rPr>
  </w:style>
  <w:style w:type="paragraph" w:customStyle="1" w:styleId="ConsNormal">
    <w:name w:val="ConsNormal"/>
    <w:uiPriority w:val="99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F01935"/>
    <w:rPr>
      <w:rFonts w:cs="Times New Roman"/>
      <w:b/>
      <w:color w:val="217680"/>
      <w:u w:val="none"/>
      <w:effect w:val="none"/>
    </w:rPr>
  </w:style>
  <w:style w:type="paragraph" w:customStyle="1" w:styleId="ConsPlusNormal">
    <w:name w:val="ConsPlusNormal"/>
    <w:uiPriority w:val="99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0"/>
    <w:link w:val="aa"/>
    <w:rsid w:val="00520F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AC74DC"/>
    <w:rPr>
      <w:rFonts w:cs="Times New Roman"/>
      <w:sz w:val="24"/>
      <w:szCs w:val="24"/>
    </w:rPr>
  </w:style>
  <w:style w:type="character" w:styleId="ab">
    <w:name w:val="page number"/>
    <w:rsid w:val="00520F8D"/>
    <w:rPr>
      <w:rFonts w:cs="Times New Roman"/>
    </w:rPr>
  </w:style>
  <w:style w:type="paragraph" w:customStyle="1" w:styleId="ac">
    <w:name w:val="Заголовок к тексту"/>
    <w:basedOn w:val="a0"/>
    <w:uiPriority w:val="99"/>
    <w:rsid w:val="00520F8D"/>
    <w:pPr>
      <w:suppressAutoHyphens/>
    </w:pPr>
    <w:rPr>
      <w:sz w:val="24"/>
    </w:rPr>
  </w:style>
  <w:style w:type="paragraph" w:customStyle="1" w:styleId="ad">
    <w:name w:val="Адресат/УТВЕРЖДАЮ/резолюция"/>
    <w:basedOn w:val="3"/>
    <w:uiPriority w:val="99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e">
    <w:name w:val="ФИЛИАЛ"/>
    <w:basedOn w:val="a0"/>
    <w:uiPriority w:val="99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">
    <w:name w:val="Реквизиты ОДУ"/>
    <w:basedOn w:val="a0"/>
    <w:uiPriority w:val="99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0">
    <w:name w:val="регистрационный номер"/>
    <w:basedOn w:val="af"/>
    <w:uiPriority w:val="99"/>
    <w:rsid w:val="00520F8D"/>
    <w:rPr>
      <w:b w:val="0"/>
      <w:bCs/>
      <w:sz w:val="24"/>
    </w:rPr>
  </w:style>
  <w:style w:type="character" w:styleId="af1">
    <w:name w:val="Strong"/>
    <w:qFormat/>
    <w:rsid w:val="001908BC"/>
    <w:rPr>
      <w:rFonts w:cs="Times New Roman"/>
      <w:b/>
    </w:rPr>
  </w:style>
  <w:style w:type="paragraph" w:customStyle="1" w:styleId="infoblue">
    <w:name w:val="infoblue"/>
    <w:basedOn w:val="a0"/>
    <w:next w:val="a0"/>
    <w:uiPriority w:val="99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styleId="af2">
    <w:name w:val="Balloon Text"/>
    <w:basedOn w:val="a0"/>
    <w:link w:val="af3"/>
    <w:uiPriority w:val="99"/>
    <w:rsid w:val="009D34A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9D34A7"/>
    <w:rPr>
      <w:rFonts w:ascii="Tahoma" w:hAnsi="Tahoma" w:cs="Tahoma"/>
      <w:sz w:val="16"/>
      <w:szCs w:val="16"/>
    </w:rPr>
  </w:style>
  <w:style w:type="table" w:styleId="af4">
    <w:name w:val="Table Grid"/>
    <w:basedOn w:val="a2"/>
    <w:uiPriority w:val="99"/>
    <w:rsid w:val="0008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0"/>
    <w:uiPriority w:val="34"/>
    <w:qFormat/>
    <w:rsid w:val="0008259F"/>
    <w:pPr>
      <w:ind w:left="720"/>
      <w:contextualSpacing/>
    </w:pPr>
  </w:style>
  <w:style w:type="paragraph" w:styleId="af6">
    <w:name w:val="footer"/>
    <w:basedOn w:val="a0"/>
    <w:link w:val="af7"/>
    <w:uiPriority w:val="99"/>
    <w:rsid w:val="009656F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9656FD"/>
    <w:rPr>
      <w:rFonts w:cs="Times New Roman"/>
      <w:sz w:val="24"/>
      <w:szCs w:val="24"/>
    </w:rPr>
  </w:style>
  <w:style w:type="paragraph" w:styleId="af8">
    <w:name w:val="Revision"/>
    <w:hidden/>
    <w:uiPriority w:val="99"/>
    <w:semiHidden/>
    <w:rsid w:val="006B7AA6"/>
    <w:rPr>
      <w:sz w:val="28"/>
      <w:szCs w:val="24"/>
    </w:rPr>
  </w:style>
  <w:style w:type="character" w:styleId="af9">
    <w:name w:val="annotation reference"/>
    <w:rsid w:val="004A5D0D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rsid w:val="004A5D0D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locked/>
    <w:rsid w:val="004A5D0D"/>
    <w:rPr>
      <w:rFonts w:cs="Times New Roman"/>
    </w:rPr>
  </w:style>
  <w:style w:type="paragraph" w:styleId="afc">
    <w:name w:val="annotation subject"/>
    <w:basedOn w:val="afa"/>
    <w:next w:val="afa"/>
    <w:link w:val="afd"/>
    <w:rsid w:val="004A5D0D"/>
    <w:rPr>
      <w:b/>
      <w:bCs/>
    </w:rPr>
  </w:style>
  <w:style w:type="character" w:customStyle="1" w:styleId="afd">
    <w:name w:val="Тема примечания Знак"/>
    <w:link w:val="afc"/>
    <w:uiPriority w:val="99"/>
    <w:locked/>
    <w:rsid w:val="004A5D0D"/>
    <w:rPr>
      <w:rFonts w:cs="Times New Roman"/>
      <w:b/>
      <w:bCs/>
    </w:rPr>
  </w:style>
  <w:style w:type="paragraph" w:customStyle="1" w:styleId="subclauseindent">
    <w:name w:val="subclauseindent"/>
    <w:basedOn w:val="a0"/>
    <w:rsid w:val="00175100"/>
    <w:pPr>
      <w:spacing w:before="120" w:after="120"/>
      <w:ind w:left="1701"/>
      <w:jc w:val="both"/>
    </w:pPr>
    <w:rPr>
      <w:rFonts w:ascii="Garamond" w:hAnsi="Garamond" w:cs="Garamond"/>
      <w:sz w:val="22"/>
      <w:szCs w:val="22"/>
      <w:lang w:val="en-GB" w:eastAsia="en-US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1"/>
    <w:link w:val="1"/>
    <w:rsid w:val="00296C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List Number 2"/>
    <w:basedOn w:val="a0"/>
    <w:uiPriority w:val="99"/>
    <w:rsid w:val="00296C31"/>
    <w:pPr>
      <w:keepNext/>
      <w:keepLines/>
      <w:numPr>
        <w:numId w:val="1"/>
      </w:numPr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40">
    <w:name w:val="Заголовок 4 Знак"/>
    <w:aliases w:val="H4 Знак,H41 Знак,Sub-Minor Знак,Level 2 - a Знак"/>
    <w:basedOn w:val="a1"/>
    <w:link w:val="4"/>
    <w:semiHidden/>
    <w:rsid w:val="00296C3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1"/>
    <w:link w:val="5"/>
    <w:semiHidden/>
    <w:rsid w:val="003151EA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customStyle="1" w:styleId="60">
    <w:name w:val="Заголовок 6 Знак"/>
    <w:aliases w:val="Legal Level 1. Знак"/>
    <w:basedOn w:val="a1"/>
    <w:link w:val="6"/>
    <w:uiPriority w:val="99"/>
    <w:rsid w:val="003151EA"/>
    <w:rPr>
      <w:rFonts w:ascii="Garamond" w:hAnsi="Garamond" w:cs="Garamond"/>
      <w:sz w:val="22"/>
      <w:szCs w:val="22"/>
      <w:lang w:eastAsia="en-US"/>
    </w:rPr>
  </w:style>
  <w:style w:type="character" w:customStyle="1" w:styleId="70">
    <w:name w:val="Заголовок 7 Знак"/>
    <w:aliases w:val="Appendix Header Знак,Legal Level 1.1. Знак"/>
    <w:basedOn w:val="a1"/>
    <w:link w:val="7"/>
    <w:uiPriority w:val="99"/>
    <w:rsid w:val="003151EA"/>
    <w:rPr>
      <w:rFonts w:ascii="Garamond" w:hAnsi="Garamond" w:cs="Garamond"/>
      <w:sz w:val="22"/>
      <w:szCs w:val="22"/>
      <w:lang w:val="en-GB" w:eastAsia="en-US"/>
    </w:rPr>
  </w:style>
  <w:style w:type="character" w:customStyle="1" w:styleId="80">
    <w:name w:val="Заголовок 8 Знак"/>
    <w:aliases w:val="Legal Level 1.1.1. Знак"/>
    <w:basedOn w:val="a1"/>
    <w:link w:val="8"/>
    <w:uiPriority w:val="99"/>
    <w:rsid w:val="003151EA"/>
    <w:rPr>
      <w:rFonts w:ascii="Arial" w:hAnsi="Arial" w:cs="Arial"/>
      <w:i/>
      <w:iCs/>
      <w:lang w:val="en-GB" w:eastAsia="en-US"/>
    </w:rPr>
  </w:style>
  <w:style w:type="character" w:customStyle="1" w:styleId="90">
    <w:name w:val="Заголовок 9 Знак"/>
    <w:aliases w:val="Legal Level 1.1.1.1. Знак"/>
    <w:basedOn w:val="a1"/>
    <w:link w:val="9"/>
    <w:uiPriority w:val="99"/>
    <w:rsid w:val="003151EA"/>
    <w:rPr>
      <w:rFonts w:ascii="Arial" w:hAnsi="Arial" w:cs="Arial"/>
      <w:i/>
      <w:iCs/>
      <w:sz w:val="18"/>
      <w:szCs w:val="18"/>
      <w:lang w:val="en-GB" w:eastAsia="en-US"/>
    </w:rPr>
  </w:style>
  <w:style w:type="paragraph" w:customStyle="1" w:styleId="clauseindent">
    <w:name w:val="clauseindent"/>
    <w:basedOn w:val="a0"/>
    <w:uiPriority w:val="99"/>
    <w:rsid w:val="008C632A"/>
    <w:pPr>
      <w:spacing w:before="120" w:after="120"/>
      <w:ind w:left="426"/>
      <w:jc w:val="both"/>
    </w:pPr>
    <w:rPr>
      <w:rFonts w:ascii="Garamond" w:hAnsi="Garamond" w:cs="Garamond"/>
      <w:i/>
      <w:iCs/>
      <w:sz w:val="22"/>
      <w:szCs w:val="22"/>
      <w:lang w:eastAsia="en-US"/>
    </w:rPr>
  </w:style>
  <w:style w:type="paragraph" w:styleId="33">
    <w:name w:val="toc 3"/>
    <w:basedOn w:val="a0"/>
    <w:next w:val="a0"/>
    <w:uiPriority w:val="39"/>
    <w:rsid w:val="008C3CFE"/>
    <w:pPr>
      <w:ind w:left="440"/>
    </w:pPr>
    <w:rPr>
      <w:i/>
      <w:sz w:val="20"/>
      <w:szCs w:val="20"/>
      <w:lang w:eastAsia="en-US"/>
    </w:rPr>
  </w:style>
  <w:style w:type="paragraph" w:styleId="11">
    <w:name w:val="toc 1"/>
    <w:basedOn w:val="a0"/>
    <w:next w:val="a0"/>
    <w:semiHidden/>
    <w:rsid w:val="008C3CFE"/>
    <w:pPr>
      <w:spacing w:before="120" w:after="120"/>
    </w:pPr>
    <w:rPr>
      <w:b/>
      <w:caps/>
      <w:sz w:val="20"/>
      <w:szCs w:val="20"/>
      <w:lang w:eastAsia="en-US"/>
    </w:rPr>
  </w:style>
  <w:style w:type="paragraph" w:styleId="24">
    <w:name w:val="toc 2"/>
    <w:basedOn w:val="a0"/>
    <w:next w:val="a0"/>
    <w:uiPriority w:val="39"/>
    <w:rsid w:val="008C3CFE"/>
    <w:pPr>
      <w:ind w:left="220"/>
    </w:pPr>
    <w:rPr>
      <w:smallCaps/>
      <w:sz w:val="20"/>
      <w:szCs w:val="20"/>
      <w:lang w:eastAsia="en-US"/>
    </w:rPr>
  </w:style>
  <w:style w:type="paragraph" w:styleId="afe">
    <w:name w:val="footnote text"/>
    <w:basedOn w:val="a0"/>
    <w:link w:val="aff"/>
    <w:semiHidden/>
    <w:rsid w:val="008C3CFE"/>
    <w:pPr>
      <w:spacing w:before="180" w:after="60"/>
    </w:pPr>
    <w:rPr>
      <w:rFonts w:ascii="Garamond" w:hAnsi="Garamond"/>
      <w:sz w:val="20"/>
      <w:szCs w:val="20"/>
      <w:lang w:eastAsia="en-US"/>
    </w:rPr>
  </w:style>
  <w:style w:type="character" w:customStyle="1" w:styleId="aff">
    <w:name w:val="Текст сноски Знак"/>
    <w:basedOn w:val="a1"/>
    <w:link w:val="afe"/>
    <w:semiHidden/>
    <w:rsid w:val="008C3CFE"/>
    <w:rPr>
      <w:rFonts w:ascii="Garamond" w:hAnsi="Garamond"/>
      <w:lang w:eastAsia="en-US"/>
    </w:rPr>
  </w:style>
  <w:style w:type="character" w:styleId="aff0">
    <w:name w:val="footnote reference"/>
    <w:basedOn w:val="a1"/>
    <w:semiHidden/>
    <w:rsid w:val="008C3CFE"/>
    <w:rPr>
      <w:vertAlign w:val="superscript"/>
    </w:rPr>
  </w:style>
  <w:style w:type="paragraph" w:customStyle="1" w:styleId="a">
    <w:name w:val="Список с точкой"/>
    <w:basedOn w:val="a0"/>
    <w:rsid w:val="008C3CFE"/>
    <w:pPr>
      <w:numPr>
        <w:numId w:val="7"/>
      </w:numPr>
      <w:spacing w:before="180" w:after="60"/>
    </w:pPr>
    <w:rPr>
      <w:rFonts w:ascii="Garamond" w:hAnsi="Garamond"/>
      <w:sz w:val="22"/>
      <w:szCs w:val="20"/>
      <w:lang w:eastAsia="en-US"/>
    </w:rPr>
  </w:style>
  <w:style w:type="paragraph" w:customStyle="1" w:styleId="aff1">
    <w:name w:val="Знак"/>
    <w:basedOn w:val="a0"/>
    <w:rsid w:val="008C3C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Document Map"/>
    <w:basedOn w:val="a0"/>
    <w:link w:val="aff3"/>
    <w:semiHidden/>
    <w:rsid w:val="008C3CFE"/>
    <w:pPr>
      <w:shd w:val="clear" w:color="auto" w:fill="000080"/>
      <w:spacing w:before="180" w:after="60"/>
    </w:pPr>
    <w:rPr>
      <w:rFonts w:ascii="Tahoma" w:hAnsi="Tahoma" w:cs="Tahoma"/>
      <w:sz w:val="20"/>
      <w:szCs w:val="20"/>
      <w:lang w:eastAsia="en-US"/>
    </w:rPr>
  </w:style>
  <w:style w:type="character" w:customStyle="1" w:styleId="aff3">
    <w:name w:val="Схема документа Знак"/>
    <w:basedOn w:val="a1"/>
    <w:link w:val="aff2"/>
    <w:semiHidden/>
    <w:rsid w:val="008C3CFE"/>
    <w:rPr>
      <w:rFonts w:ascii="Tahoma" w:hAnsi="Tahoma" w:cs="Tahoma"/>
      <w:shd w:val="clear" w:color="auto" w:fill="000080"/>
      <w:lang w:eastAsia="en-US"/>
    </w:rPr>
  </w:style>
  <w:style w:type="paragraph" w:styleId="aff4">
    <w:name w:val="Subtitle"/>
    <w:basedOn w:val="a0"/>
    <w:link w:val="aff5"/>
    <w:uiPriority w:val="99"/>
    <w:qFormat/>
    <w:locked/>
    <w:rsid w:val="008C3CFE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customStyle="1" w:styleId="aff5">
    <w:name w:val="Подзаголовок Знак"/>
    <w:basedOn w:val="a1"/>
    <w:link w:val="aff4"/>
    <w:uiPriority w:val="99"/>
    <w:rsid w:val="008C3CFE"/>
    <w:rPr>
      <w:rFonts w:ascii="Arial" w:hAnsi="Arial" w:cs="Arial"/>
      <w:sz w:val="24"/>
      <w:szCs w:val="24"/>
    </w:rPr>
  </w:style>
  <w:style w:type="paragraph" w:styleId="aff6">
    <w:name w:val="caption"/>
    <w:basedOn w:val="a0"/>
    <w:next w:val="a0"/>
    <w:uiPriority w:val="35"/>
    <w:unhideWhenUsed/>
    <w:qFormat/>
    <w:locked/>
    <w:rsid w:val="008C3CFE"/>
    <w:pPr>
      <w:spacing w:after="200"/>
    </w:pPr>
    <w:rPr>
      <w:rFonts w:ascii="Calibri" w:hAnsi="Calibri"/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8FD6-9A16-4D61-9DC5-AC60ECD3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9241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creator>Елена</dc:creator>
  <cp:lastModifiedBy>Гирина Марина Владимировна</cp:lastModifiedBy>
  <cp:revision>15</cp:revision>
  <cp:lastPrinted>2017-12-25T06:18:00Z</cp:lastPrinted>
  <dcterms:created xsi:type="dcterms:W3CDTF">2018-07-03T07:48:00Z</dcterms:created>
  <dcterms:modified xsi:type="dcterms:W3CDTF">2018-09-19T12:47:00Z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Поташник Полина А.</vt:lpwstr>
  </property>
  <property fmtid="{D5CDD505-2E9C-101B-9397-08002B2CF9AE}" pid="3" name="_dlc_DocId">
    <vt:lpwstr>ADCXMQC75VVE-2337-1103</vt:lpwstr>
  </property>
  <property fmtid="{D5CDD505-2E9C-101B-9397-08002B2CF9AE}" pid="4" name="_dlc_DocIdItemGuid">
    <vt:lpwstr>7a11341a-d006-4cab-90e2-e309aed24c98</vt:lpwstr>
  </property>
  <property fmtid="{D5CDD505-2E9C-101B-9397-08002B2CF9AE}" pid="5" name="_dlc_DocIdUrl">
    <vt:lpwstr>http://portal.cdu.so/ia/KonProcUpr/_layouts/DocIdRedir.aspx?ID=ADCXMQC75VVE-2337-1103, ADCXMQC75VVE-2337-1103</vt:lpwstr>
  </property>
  <property fmtid="{D5CDD505-2E9C-101B-9397-08002B2CF9AE}" pid="6" name="instruction">
    <vt:lpwstr/>
  </property>
  <property fmtid="{D5CDD505-2E9C-101B-9397-08002B2CF9AE}" pid="7" name="Направление">
    <vt:lpwstr>Бланки</vt:lpwstr>
  </property>
</Properties>
</file>